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8DD0" w14:textId="0DD20236" w:rsidR="008E7683" w:rsidRDefault="00A57BEE" w:rsidP="00677E9C">
      <w:pPr>
        <w:tabs>
          <w:tab w:val="num" w:pos="720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 w14:paraId="02294DBE" w14:textId="129A6D83" w:rsidR="002F5762" w:rsidRDefault="002F5762" w:rsidP="00677E9C">
      <w:pPr>
        <w:tabs>
          <w:tab w:val="num" w:pos="720"/>
        </w:tabs>
        <w:spacing w:after="0" w:line="240" w:lineRule="auto"/>
      </w:pPr>
      <w:bookmarkStart w:id="0" w:name="_Hlk187145674"/>
      <w:r>
        <w:rPr>
          <w:b/>
          <w:bCs/>
        </w:rPr>
        <w:t>Kortfattet oversigt over krav i Asbestbekendtgørelsen til visse typer asbestarbejde</w:t>
      </w:r>
      <w:r w:rsidR="001064EB">
        <w:rPr>
          <w:b/>
          <w:bCs/>
        </w:rPr>
        <w:t xml:space="preserve"> og arbejde med risiko for asbeststøv</w:t>
      </w:r>
      <w:r>
        <w:t xml:space="preserve"> </w:t>
      </w:r>
    </w:p>
    <w:bookmarkEnd w:id="0"/>
    <w:p w14:paraId="5D49AD44" w14:textId="075FD2DE" w:rsidR="00930090" w:rsidRDefault="00930090" w:rsidP="00677E9C">
      <w:pPr>
        <w:tabs>
          <w:tab w:val="num" w:pos="720"/>
        </w:tabs>
        <w:spacing w:after="0" w:line="240" w:lineRule="auto"/>
        <w:rPr>
          <w:rFonts w:cstheme="minorHAnsi"/>
        </w:rPr>
      </w:pPr>
      <w:r>
        <w:fldChar w:fldCharType="begin"/>
      </w:r>
      <w:r>
        <w:instrText>HYPERLINK "https://at.dk/regler/bekendtgoerelser/asbest-744/"</w:instrText>
      </w:r>
      <w:r>
        <w:fldChar w:fldCharType="separate"/>
      </w:r>
      <w:r w:rsidRPr="00AB474E">
        <w:rPr>
          <w:rStyle w:val="Hyperlink"/>
          <w:rFonts w:cstheme="minorHAnsi"/>
          <w:sz w:val="16"/>
          <w:szCs w:val="16"/>
        </w:rPr>
        <w:t>Arbejdstilsynets bekendtgørelse nr. 744 af 18. juni 2024 om asbest i arbejdsmiljø</w:t>
      </w:r>
      <w:r>
        <w:rPr>
          <w:rStyle w:val="Hyperlink"/>
          <w:rFonts w:cstheme="minorHAnsi"/>
          <w:sz w:val="16"/>
          <w:szCs w:val="16"/>
        </w:rPr>
        <w:fldChar w:fldCharType="end"/>
      </w:r>
    </w:p>
    <w:p w14:paraId="7FB7A659" w14:textId="77777777" w:rsidR="00DE18FF" w:rsidRDefault="00DE18FF" w:rsidP="00493852">
      <w:pPr>
        <w:tabs>
          <w:tab w:val="num" w:pos="720"/>
        </w:tabs>
        <w:spacing w:after="0" w:line="240" w:lineRule="auto"/>
        <w:ind w:left="360" w:hanging="360"/>
        <w:rPr>
          <w:rFonts w:cstheme="minorHAnsi"/>
          <w:sz w:val="18"/>
          <w:szCs w:val="18"/>
        </w:rPr>
      </w:pPr>
    </w:p>
    <w:p w14:paraId="2625BACC" w14:textId="65F19395" w:rsidR="0005093A" w:rsidRPr="00677E9C" w:rsidRDefault="0005093A" w:rsidP="00493852">
      <w:pPr>
        <w:tabs>
          <w:tab w:val="num" w:pos="720"/>
        </w:tabs>
        <w:spacing w:after="0" w:line="240" w:lineRule="auto"/>
        <w:ind w:left="360" w:hanging="360"/>
        <w:rPr>
          <w:rFonts w:cstheme="minorHAnsi"/>
          <w:sz w:val="18"/>
          <w:szCs w:val="18"/>
        </w:rPr>
      </w:pPr>
      <w:r w:rsidRPr="00677E9C">
        <w:rPr>
          <w:rFonts w:cstheme="minorHAnsi"/>
          <w:sz w:val="18"/>
          <w:szCs w:val="18"/>
        </w:rPr>
        <w:t xml:space="preserve">Asbestbekendtgørelsen gælder for </w:t>
      </w:r>
    </w:p>
    <w:p w14:paraId="70B83F31" w14:textId="1C5547C5" w:rsidR="0005093A" w:rsidRPr="00677E9C" w:rsidRDefault="0005093A" w:rsidP="0005093A">
      <w:pPr>
        <w:pStyle w:val="Listeafsnit"/>
        <w:numPr>
          <w:ilvl w:val="0"/>
          <w:numId w:val="28"/>
        </w:numPr>
        <w:spacing w:after="0" w:line="240" w:lineRule="auto"/>
        <w:rPr>
          <w:rFonts w:cstheme="minorHAnsi"/>
          <w:sz w:val="18"/>
          <w:szCs w:val="18"/>
        </w:rPr>
      </w:pPr>
      <w:r w:rsidRPr="00677E9C">
        <w:rPr>
          <w:rFonts w:cstheme="minorHAnsi"/>
          <w:sz w:val="18"/>
          <w:szCs w:val="18"/>
        </w:rPr>
        <w:t>asbestarbejde</w:t>
      </w:r>
      <w:r w:rsidR="00774551">
        <w:rPr>
          <w:rFonts w:cstheme="minorHAnsi"/>
          <w:sz w:val="18"/>
          <w:szCs w:val="18"/>
        </w:rPr>
        <w:t>,</w:t>
      </w:r>
      <w:r w:rsidRPr="00677E9C">
        <w:rPr>
          <w:rFonts w:cstheme="minorHAnsi"/>
          <w:sz w:val="18"/>
          <w:szCs w:val="18"/>
        </w:rPr>
        <w:t xml:space="preserve"> og for </w:t>
      </w:r>
    </w:p>
    <w:p w14:paraId="76BD487D" w14:textId="6191322B" w:rsidR="0005093A" w:rsidRPr="00677E9C" w:rsidRDefault="0005093A" w:rsidP="0005093A">
      <w:pPr>
        <w:pStyle w:val="Listeafsnit"/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cstheme="minorHAnsi"/>
          <w:sz w:val="18"/>
          <w:szCs w:val="18"/>
        </w:rPr>
      </w:pPr>
      <w:r w:rsidRPr="00677E9C">
        <w:rPr>
          <w:rFonts w:cstheme="minorHAnsi"/>
          <w:sz w:val="18"/>
          <w:szCs w:val="18"/>
        </w:rPr>
        <w:t>arbejde i øvrigt, hvor der er risiko for udsættelse for asbeststøv.</w:t>
      </w:r>
    </w:p>
    <w:p w14:paraId="618C63B7" w14:textId="77777777" w:rsidR="00A95A06" w:rsidRDefault="00A95A06" w:rsidP="0005093A">
      <w:pPr>
        <w:tabs>
          <w:tab w:val="num" w:pos="720"/>
        </w:tabs>
        <w:spacing w:after="0" w:line="240" w:lineRule="auto"/>
        <w:rPr>
          <w:rFonts w:cstheme="minorHAnsi"/>
          <w:b/>
          <w:bCs/>
          <w:color w:val="FF0000"/>
          <w:sz w:val="16"/>
          <w:szCs w:val="16"/>
        </w:rPr>
      </w:pPr>
    </w:p>
    <w:p w14:paraId="521AB729" w14:textId="45259AA8" w:rsidR="00DE18FF" w:rsidRPr="001E67D7" w:rsidRDefault="00A95A06" w:rsidP="0005093A">
      <w:pPr>
        <w:tabs>
          <w:tab w:val="num" w:pos="720"/>
        </w:tabs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1E67D7">
        <w:rPr>
          <w:rFonts w:cstheme="minorHAnsi"/>
          <w:b/>
          <w:bCs/>
          <w:color w:val="FF0000"/>
          <w:sz w:val="20"/>
          <w:szCs w:val="20"/>
        </w:rPr>
        <w:t xml:space="preserve">NB </w:t>
      </w:r>
      <w:r w:rsidR="0065624B" w:rsidRPr="001E67D7">
        <w:rPr>
          <w:rFonts w:cstheme="minorHAnsi"/>
          <w:b/>
          <w:bCs/>
          <w:color w:val="FF0000"/>
          <w:sz w:val="20"/>
          <w:szCs w:val="20"/>
        </w:rPr>
        <w:t xml:space="preserve">Fortag altid en risikovurdering af det arbejde der skal udføres. Fx vil </w:t>
      </w:r>
      <w:r w:rsidR="0065624B" w:rsidRPr="001E67D7">
        <w:rPr>
          <w:rFonts w:cstheme="minorHAnsi"/>
          <w:b/>
          <w:bCs/>
          <w:color w:val="FF0000"/>
          <w:sz w:val="20"/>
          <w:szCs w:val="20"/>
        </w:rPr>
        <w:t xml:space="preserve">mange af kravene om foranstaltninger </w:t>
      </w:r>
      <w:r w:rsidRPr="001E67D7">
        <w:rPr>
          <w:rFonts w:cstheme="minorHAnsi"/>
          <w:b/>
          <w:bCs/>
          <w:color w:val="FF0000"/>
          <w:sz w:val="20"/>
          <w:szCs w:val="20"/>
        </w:rPr>
        <w:t>ved ”A</w:t>
      </w:r>
      <w:r w:rsidRPr="001E67D7">
        <w:rPr>
          <w:rFonts w:cstheme="minorHAnsi"/>
          <w:b/>
          <w:bCs/>
          <w:color w:val="FF0000"/>
          <w:sz w:val="20"/>
          <w:szCs w:val="20"/>
        </w:rPr>
        <w:t>rbejde i øvrigt hvor der er risiko for</w:t>
      </w:r>
      <w:r w:rsidRPr="001E67D7">
        <w:rPr>
          <w:rFonts w:cstheme="minorHAnsi"/>
          <w:color w:val="FF0000"/>
          <w:sz w:val="20"/>
          <w:szCs w:val="20"/>
        </w:rPr>
        <w:t xml:space="preserve"> </w:t>
      </w:r>
      <w:r w:rsidRPr="001E67D7">
        <w:rPr>
          <w:rFonts w:cstheme="minorHAnsi"/>
          <w:b/>
          <w:bCs/>
          <w:color w:val="FF0000"/>
          <w:sz w:val="20"/>
          <w:szCs w:val="20"/>
        </w:rPr>
        <w:t>udsættelse for asbeststøv</w:t>
      </w:r>
      <w:r w:rsidRPr="001E67D7">
        <w:rPr>
          <w:rFonts w:cstheme="minorHAnsi"/>
          <w:b/>
          <w:bCs/>
          <w:color w:val="FF0000"/>
          <w:sz w:val="20"/>
          <w:szCs w:val="20"/>
        </w:rPr>
        <w:t>”</w:t>
      </w:r>
      <w:r w:rsidRPr="001E67D7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65624B" w:rsidRPr="001E67D7">
        <w:rPr>
          <w:rFonts w:cstheme="minorHAnsi"/>
          <w:b/>
          <w:bCs/>
          <w:color w:val="FF0000"/>
          <w:sz w:val="20"/>
          <w:szCs w:val="20"/>
        </w:rPr>
        <w:t>afhænge af resultat af jeres risikovurdering</w:t>
      </w:r>
      <w:r w:rsidRPr="001E67D7">
        <w:rPr>
          <w:rFonts w:cstheme="minorHAnsi"/>
          <w:b/>
          <w:bCs/>
          <w:color w:val="FF0000"/>
          <w:sz w:val="20"/>
          <w:szCs w:val="20"/>
        </w:rPr>
        <w:t>.</w:t>
      </w:r>
      <w:r w:rsidR="0081465E">
        <w:rPr>
          <w:rFonts w:cstheme="minorHAnsi"/>
          <w:b/>
          <w:bCs/>
          <w:color w:val="FF0000"/>
          <w:sz w:val="20"/>
          <w:szCs w:val="20"/>
        </w:rPr>
        <w:t xml:space="preserve"> Vær her især opmærksom på de afkrydsninger som er i parentes.</w:t>
      </w:r>
    </w:p>
    <w:p w14:paraId="34BC987D" w14:textId="77777777" w:rsidR="008351DE" w:rsidRPr="003514B4" w:rsidRDefault="008351DE" w:rsidP="0005093A">
      <w:p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20FE0E3" w14:textId="168A15CE" w:rsidR="008351DE" w:rsidRPr="003514B4" w:rsidRDefault="008351DE" w:rsidP="0005093A">
      <w:pPr>
        <w:tabs>
          <w:tab w:val="num" w:pos="720"/>
        </w:tabs>
        <w:spacing w:after="0" w:line="240" w:lineRule="auto"/>
        <w:rPr>
          <w:rFonts w:cstheme="minorHAnsi"/>
          <w:sz w:val="20"/>
          <w:szCs w:val="20"/>
        </w:rPr>
      </w:pPr>
      <w:r w:rsidRPr="003514B4">
        <w:rPr>
          <w:rFonts w:cstheme="minorHAnsi"/>
          <w:sz w:val="20"/>
          <w:szCs w:val="20"/>
        </w:rPr>
        <w:t xml:space="preserve">Se også </w:t>
      </w:r>
      <w:hyperlink r:id="rId8" w:history="1">
        <w:r w:rsidRPr="003514B4">
          <w:rPr>
            <w:rStyle w:val="Hyperlink"/>
            <w:rFonts w:cstheme="minorHAnsi"/>
            <w:sz w:val="20"/>
            <w:szCs w:val="20"/>
          </w:rPr>
          <w:t xml:space="preserve">Arbejdstilsynets hjemmeside under </w:t>
        </w:r>
        <w:r w:rsidR="00177986">
          <w:rPr>
            <w:rStyle w:val="Hyperlink"/>
            <w:rFonts w:cstheme="minorHAnsi"/>
            <w:sz w:val="20"/>
            <w:szCs w:val="20"/>
          </w:rPr>
          <w:t>”</w:t>
        </w:r>
        <w:r w:rsidRPr="003514B4">
          <w:rPr>
            <w:rStyle w:val="Hyperlink"/>
            <w:rFonts w:cstheme="minorHAnsi"/>
            <w:sz w:val="20"/>
            <w:szCs w:val="20"/>
          </w:rPr>
          <w:t>Asbest i arbejdsmiljøet</w:t>
        </w:r>
      </w:hyperlink>
      <w:r w:rsidR="00177986">
        <w:rPr>
          <w:rFonts w:cstheme="minorHAnsi"/>
          <w:sz w:val="20"/>
          <w:szCs w:val="20"/>
        </w:rPr>
        <w:t>”</w:t>
      </w:r>
      <w:r w:rsidRPr="003514B4">
        <w:rPr>
          <w:rFonts w:cstheme="minorHAnsi"/>
          <w:sz w:val="20"/>
          <w:szCs w:val="20"/>
        </w:rPr>
        <w:t xml:space="preserve"> og</w:t>
      </w:r>
      <w:hyperlink r:id="rId9" w:history="1">
        <w:r w:rsidRPr="003514B4">
          <w:rPr>
            <w:rStyle w:val="Hyperlink"/>
            <w:rFonts w:cstheme="minorHAnsi"/>
            <w:sz w:val="20"/>
            <w:szCs w:val="20"/>
          </w:rPr>
          <w:t xml:space="preserve"> Asbesthuset</w:t>
        </w:r>
      </w:hyperlink>
    </w:p>
    <w:p w14:paraId="49D92A6E" w14:textId="77777777" w:rsidR="00677E9C" w:rsidRPr="006A4005" w:rsidRDefault="00677E9C" w:rsidP="00677E9C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da-DK"/>
          <w14:ligatures w14:val="none"/>
        </w:rPr>
      </w:pP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425"/>
        <w:gridCol w:w="2406"/>
        <w:gridCol w:w="1133"/>
        <w:gridCol w:w="1560"/>
        <w:gridCol w:w="1133"/>
        <w:gridCol w:w="1082"/>
        <w:gridCol w:w="1608"/>
        <w:gridCol w:w="1139"/>
        <w:gridCol w:w="1133"/>
        <w:gridCol w:w="1807"/>
      </w:tblGrid>
      <w:tr w:rsidR="005405BB" w:rsidRPr="00AB474E" w14:paraId="621D5AB8" w14:textId="1CD04D71" w:rsidTr="00FA55BD">
        <w:trPr>
          <w:tblHeader/>
        </w:trPr>
        <w:tc>
          <w:tcPr>
            <w:tcW w:w="158" w:type="pct"/>
          </w:tcPr>
          <w:p w14:paraId="25755B5A" w14:textId="77777777" w:rsidR="005405BB" w:rsidRPr="00AB474E" w:rsidRDefault="005405BB" w:rsidP="00BB0B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69" w:type="pct"/>
            <w:gridSpan w:val="8"/>
          </w:tcPr>
          <w:p w14:paraId="6B2AC03A" w14:textId="33E9EB9C" w:rsidR="005405BB" w:rsidRPr="00AB474E" w:rsidRDefault="005405BB" w:rsidP="00AB47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474E">
              <w:rPr>
                <w:rFonts w:cstheme="minorHAnsi"/>
                <w:b/>
                <w:bCs/>
                <w:sz w:val="16"/>
                <w:szCs w:val="16"/>
              </w:rPr>
              <w:t xml:space="preserve">Asbestarbejde </w:t>
            </w:r>
          </w:p>
        </w:tc>
        <w:tc>
          <w:tcPr>
            <w:tcW w:w="673" w:type="pct"/>
          </w:tcPr>
          <w:p w14:paraId="7E37AE2E" w14:textId="4B73C8C4" w:rsidR="005405BB" w:rsidRPr="00AB474E" w:rsidRDefault="005405BB" w:rsidP="00BB0B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B474E">
              <w:rPr>
                <w:rFonts w:cstheme="minorHAnsi"/>
                <w:b/>
                <w:bCs/>
                <w:sz w:val="16"/>
                <w:szCs w:val="16"/>
              </w:rPr>
              <w:t xml:space="preserve">Arbejde i øvrigt </w:t>
            </w:r>
          </w:p>
        </w:tc>
      </w:tr>
      <w:tr w:rsidR="00F85AD7" w:rsidRPr="00AB474E" w14:paraId="6C0127DC" w14:textId="39221B83" w:rsidTr="00FA55BD">
        <w:trPr>
          <w:tblHeader/>
        </w:trPr>
        <w:tc>
          <w:tcPr>
            <w:tcW w:w="158" w:type="pct"/>
          </w:tcPr>
          <w:p w14:paraId="4A8E5B32" w14:textId="77777777" w:rsidR="005405BB" w:rsidRPr="00AB474E" w:rsidRDefault="005405BB" w:rsidP="008546C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6" w:type="pct"/>
          </w:tcPr>
          <w:p w14:paraId="59CD6B0D" w14:textId="73157C9E" w:rsidR="005405BB" w:rsidRPr="00AB474E" w:rsidRDefault="005405BB" w:rsidP="008E768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474E">
              <w:rPr>
                <w:rFonts w:cstheme="minorHAnsi"/>
                <w:b/>
                <w:bCs/>
                <w:sz w:val="16"/>
                <w:szCs w:val="16"/>
              </w:rPr>
              <w:t xml:space="preserve">Bestemmelser i </w:t>
            </w:r>
            <w:hyperlink r:id="rId10" w:history="1">
              <w:r w:rsidRPr="00AB474E">
                <w:rPr>
                  <w:rStyle w:val="Hyperlink"/>
                  <w:rFonts w:cstheme="minorHAnsi"/>
                  <w:sz w:val="16"/>
                  <w:szCs w:val="16"/>
                </w:rPr>
                <w:t>Arbejdstilsynets bekendtgørelse nr. 744 af 18. juni 2024 om asbest i arbejdsmiljø</w:t>
              </w:r>
            </w:hyperlink>
            <w:r w:rsidRPr="00AB474E">
              <w:rPr>
                <w:rFonts w:cstheme="minorHAnsi"/>
                <w:b/>
                <w:bCs/>
                <w:sz w:val="16"/>
                <w:szCs w:val="16"/>
              </w:rPr>
              <w:t xml:space="preserve"> som træder i kraft ved </w:t>
            </w:r>
            <w:r w:rsidR="002B1058">
              <w:rPr>
                <w:rFonts w:cstheme="minorHAnsi"/>
                <w:b/>
                <w:bCs/>
                <w:sz w:val="16"/>
                <w:szCs w:val="16"/>
              </w:rPr>
              <w:t>arbejdsprocesser nævnt i kolonnerne</w:t>
            </w:r>
            <w:r w:rsidRPr="00AB474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2" w:type="pct"/>
          </w:tcPr>
          <w:p w14:paraId="3890C33D" w14:textId="4F6D5D9B" w:rsidR="005405BB" w:rsidRPr="00A95A06" w:rsidRDefault="005405BB" w:rsidP="00335B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  <w:u w:val="single"/>
              </w:rPr>
              <w:t>Nedrivning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br/>
              <w:t>indvendig af asbestholdigt ma</w:t>
            </w:r>
            <w:r w:rsidR="00747973" w:rsidRPr="00A95A06">
              <w:rPr>
                <w:rFonts w:cstheme="minorHAnsi"/>
                <w:b/>
                <w:bCs/>
                <w:sz w:val="16"/>
                <w:szCs w:val="16"/>
              </w:rPr>
              <w:t>teriale (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>As</w:t>
            </w:r>
            <w:r w:rsidR="003B63F4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>beststøv i væs</w:t>
            </w:r>
            <w:r w:rsidR="00F85AD7" w:rsidRPr="00A95A06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ntligt </w:t>
            </w:r>
            <w:r w:rsidR="00F85AD7" w:rsidRPr="00A95A06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>mf</w:t>
            </w:r>
            <w:r w:rsidR="00747973" w:rsidRPr="00A95A06">
              <w:rPr>
                <w:rFonts w:cstheme="minorHAnsi"/>
                <w:b/>
                <w:bCs/>
                <w:sz w:val="16"/>
                <w:szCs w:val="16"/>
              </w:rPr>
              <w:t>ang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1" w:type="pct"/>
          </w:tcPr>
          <w:p w14:paraId="249EDC1F" w14:textId="4F481D8D" w:rsidR="005405BB" w:rsidRPr="00A95A06" w:rsidRDefault="005405BB" w:rsidP="008E768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  <w:u w:val="single"/>
              </w:rPr>
              <w:t>Nedrivning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, udvendig</w:t>
            </w:r>
            <w:r w:rsidR="00AB474E" w:rsidRPr="00A95A06">
              <w:rPr>
                <w:rFonts w:cstheme="minorHAnsi"/>
                <w:b/>
                <w:bCs/>
                <w:sz w:val="16"/>
                <w:szCs w:val="16"/>
              </w:rPr>
              <w:t>,</w:t>
            </w:r>
            <w:r w:rsidR="00AF34A0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 xml:space="preserve">andet med risiko, fx nedtagning af </w:t>
            </w:r>
            <w:r w:rsidRPr="00A95A06">
              <w:rPr>
                <w:rFonts w:cstheme="minorHAnsi"/>
                <w:b/>
                <w:bCs/>
                <w:sz w:val="16"/>
                <w:szCs w:val="16"/>
                <w:u w:val="single"/>
              </w:rPr>
              <w:t>flere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end 4-6 </w:t>
            </w:r>
            <w:r w:rsidR="00AF34A0" w:rsidRPr="00A95A06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="00542BE9" w:rsidRPr="00A95A06">
              <w:rPr>
                <w:rFonts w:cstheme="minorHAnsi"/>
                <w:b/>
                <w:bCs/>
                <w:sz w:val="16"/>
                <w:szCs w:val="16"/>
              </w:rPr>
              <w:t>sbestholdige bølg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542BE9" w:rsidRPr="00A95A06">
              <w:rPr>
                <w:rFonts w:cstheme="minorHAnsi"/>
                <w:b/>
                <w:bCs/>
                <w:sz w:val="16"/>
                <w:szCs w:val="16"/>
              </w:rPr>
              <w:t>plader</w:t>
            </w:r>
            <w:r w:rsidR="005B1A8A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2" w:type="pct"/>
          </w:tcPr>
          <w:p w14:paraId="76DE00F7" w14:textId="4B56C42D" w:rsidR="005405BB" w:rsidRPr="00A95A06" w:rsidRDefault="005405BB" w:rsidP="00F85AD7">
            <w:pPr>
              <w:rPr>
                <w:rFonts w:eastAsia="Times New Roman" w:cstheme="minorHAnsi"/>
                <w:kern w:val="0"/>
                <w:sz w:val="16"/>
                <w:szCs w:val="16"/>
                <w:lang w:eastAsia="da-DK"/>
                <w14:ligatures w14:val="none"/>
              </w:rPr>
            </w:pP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Oprydning efter brande</w:t>
            </w:r>
            <w:r w:rsidR="0064165E"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, og</w:t>
            </w: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  <w:r w:rsidR="00F85AD7"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o</w:t>
            </w: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m</w:t>
            </w:r>
            <w:r w:rsidR="00F85AD7"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-</w:t>
            </w: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fatten</w:t>
            </w:r>
            <w:r w:rsidR="00C12023"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d</w:t>
            </w: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e storm</w:t>
            </w:r>
            <w:r w:rsidR="003B63F4"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  <w:r w:rsidRPr="00A95A0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skader</w:t>
            </w:r>
          </w:p>
        </w:tc>
        <w:tc>
          <w:tcPr>
            <w:tcW w:w="403" w:type="pct"/>
          </w:tcPr>
          <w:p w14:paraId="5527709F" w14:textId="1D61400D" w:rsidR="005405BB" w:rsidRPr="00A95A06" w:rsidRDefault="005405BB" w:rsidP="00F85AD7">
            <w:pP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</w:rPr>
              <w:t>Fjernelse af</w:t>
            </w:r>
            <w:r w:rsidRPr="00A95A06">
              <w:rPr>
                <w:rFonts w:cstheme="minorHAnsi"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asbestforurenet materi</w:t>
            </w:r>
            <w:r w:rsidR="009F1070" w:rsidRPr="00A95A06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ale,</w:t>
            </w:r>
            <w:r w:rsidRPr="00A95A06">
              <w:rPr>
                <w:rFonts w:cstheme="minorHAnsi"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rengø</w:t>
            </w:r>
            <w:r w:rsidR="009F1070" w:rsidRPr="00A95A06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ring</w:t>
            </w:r>
            <w:r w:rsidRPr="00A95A06">
              <w:rPr>
                <w:rFonts w:cstheme="minorHAnsi"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for asbeststøv</w:t>
            </w:r>
            <w:r w:rsidRPr="00A95A06">
              <w:rPr>
                <w:rFonts w:cstheme="minorHAnsi"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og lignende</w:t>
            </w:r>
          </w:p>
        </w:tc>
        <w:tc>
          <w:tcPr>
            <w:tcW w:w="599" w:type="pct"/>
          </w:tcPr>
          <w:p w14:paraId="255D56E7" w14:textId="5702640D" w:rsidR="005405BB" w:rsidRPr="00A95A06" w:rsidRDefault="005405BB" w:rsidP="008E768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  <w:u w:val="single"/>
              </w:rPr>
              <w:t>Nedrivning</w:t>
            </w:r>
            <w:r w:rsidR="00966DB7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kortvarigt og af mindre karakter, jf. §7 stk. 2, fx nedtagning af 4-6 asbestholdige bølgeeternitplader</w:t>
            </w:r>
            <w:r w:rsidR="00274523" w:rsidRPr="00A95A06">
              <w:rPr>
                <w:rFonts w:cstheme="minorHAnsi"/>
                <w:b/>
                <w:bCs/>
                <w:sz w:val="16"/>
                <w:szCs w:val="16"/>
              </w:rPr>
              <w:t>, enkelte fliser, to rørbøjninger</w:t>
            </w:r>
          </w:p>
        </w:tc>
        <w:tc>
          <w:tcPr>
            <w:tcW w:w="424" w:type="pct"/>
          </w:tcPr>
          <w:p w14:paraId="62010CB9" w14:textId="317190C5" w:rsidR="005405BB" w:rsidRPr="00A95A06" w:rsidRDefault="00542BE9" w:rsidP="008E768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</w:rPr>
              <w:t>Reparation og vedlige</w:t>
            </w:r>
            <w:r w:rsidR="00E12CD2" w:rsidRPr="00A95A06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holdelse</w:t>
            </w:r>
            <w:r w:rsidR="00334C00" w:rsidRPr="00A95A06">
              <w:rPr>
                <w:rFonts w:cstheme="minorHAnsi"/>
                <w:b/>
                <w:bCs/>
                <w:sz w:val="16"/>
                <w:szCs w:val="16"/>
              </w:rPr>
              <w:t>,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fx at bore et hul i en væg</w:t>
            </w:r>
            <w:r w:rsidR="002D0F17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m. asbest</w:t>
            </w:r>
          </w:p>
        </w:tc>
        <w:tc>
          <w:tcPr>
            <w:tcW w:w="422" w:type="pct"/>
          </w:tcPr>
          <w:p w14:paraId="30EC157D" w14:textId="1D720904" w:rsidR="005405BB" w:rsidRPr="00A95A06" w:rsidRDefault="005405BB" w:rsidP="005405B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</w:rPr>
              <w:t>Asbestarbejde med lavt støvniveau</w:t>
            </w:r>
            <w:r w:rsidR="00E12CD2" w:rsidRPr="00A95A06">
              <w:rPr>
                <w:rFonts w:cstheme="minorHAnsi"/>
                <w:b/>
                <w:bCs/>
                <w:sz w:val="16"/>
                <w:szCs w:val="16"/>
              </w:rPr>
              <w:t>,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fx overvåg</w:t>
            </w:r>
            <w:r w:rsidR="003B63F4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ning</w:t>
            </w:r>
            <w:r w:rsidR="00E12CD2" w:rsidRPr="00A95A06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kontrol af luft. GV ikke over</w:t>
            </w:r>
            <w:r w:rsidR="005C1285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skr</w:t>
            </w:r>
            <w:r w:rsidR="00AB474E" w:rsidRPr="00A95A06">
              <w:rPr>
                <w:rFonts w:cstheme="minorHAnsi"/>
                <w:b/>
                <w:bCs/>
                <w:sz w:val="16"/>
                <w:szCs w:val="16"/>
              </w:rPr>
              <w:t>ed</w:t>
            </w:r>
            <w:r w:rsidR="005C1285" w:rsidRPr="00A95A06">
              <w:rPr>
                <w:rFonts w:cstheme="minorHAnsi"/>
                <w:b/>
                <w:bCs/>
                <w:sz w:val="16"/>
                <w:szCs w:val="16"/>
              </w:rPr>
              <w:t>et</w:t>
            </w:r>
          </w:p>
        </w:tc>
        <w:tc>
          <w:tcPr>
            <w:tcW w:w="673" w:type="pct"/>
          </w:tcPr>
          <w:p w14:paraId="6C8653B8" w14:textId="1CA280D8" w:rsidR="005405BB" w:rsidRPr="00A95A06" w:rsidRDefault="005405BB" w:rsidP="00E12CD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95A06">
              <w:rPr>
                <w:rFonts w:cstheme="minorHAnsi"/>
                <w:b/>
                <w:bCs/>
                <w:sz w:val="16"/>
                <w:szCs w:val="16"/>
              </w:rPr>
              <w:t>Arbejde i øvrigt hvor der er risiko for</w:t>
            </w:r>
            <w:r w:rsidRPr="00A95A06">
              <w:rPr>
                <w:rFonts w:cstheme="minorHAnsi"/>
                <w:sz w:val="16"/>
                <w:szCs w:val="16"/>
              </w:rPr>
              <w:t xml:space="preserve"> </w:t>
            </w:r>
            <w:r w:rsidRPr="00A95A06">
              <w:rPr>
                <w:rFonts w:cstheme="minorHAnsi"/>
                <w:b/>
                <w:bCs/>
                <w:sz w:val="16"/>
                <w:szCs w:val="16"/>
              </w:rPr>
              <w:t>udsættelse for asbeststøv</w:t>
            </w:r>
            <w:r w:rsidR="00E12CD2" w:rsidRPr="00A95A06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F85AD7" w:rsidRPr="00AB474E" w14:paraId="459F2411" w14:textId="78469F98" w:rsidTr="00FA55BD">
        <w:tc>
          <w:tcPr>
            <w:tcW w:w="158" w:type="pct"/>
            <w:shd w:val="clear" w:color="auto" w:fill="auto"/>
          </w:tcPr>
          <w:p w14:paraId="014122D6" w14:textId="452EF3CC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A97867E" w14:textId="49F2FDE9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Arbejdspladsvurdering</w:t>
            </w:r>
            <w:r w:rsidRPr="00AB474E">
              <w:rPr>
                <w:rFonts w:cstheme="minorHAnsi"/>
                <w:sz w:val="16"/>
                <w:szCs w:val="16"/>
              </w:rPr>
              <w:t xml:space="preserve">, </w:t>
            </w:r>
            <w:r w:rsidR="00AF325D">
              <w:rPr>
                <w:rFonts w:cstheme="minorHAnsi"/>
                <w:sz w:val="16"/>
                <w:szCs w:val="16"/>
              </w:rPr>
              <w:t>og</w:t>
            </w:r>
            <w:r w:rsidRPr="00AB474E">
              <w:rPr>
                <w:rFonts w:cstheme="minorHAnsi"/>
                <w:sz w:val="16"/>
                <w:szCs w:val="16"/>
              </w:rPr>
              <w:t xml:space="preserve"> </w:t>
            </w:r>
            <w:r w:rsidRPr="00787E00">
              <w:rPr>
                <w:rFonts w:cstheme="minorHAnsi"/>
                <w:b/>
                <w:bCs/>
                <w:sz w:val="16"/>
                <w:szCs w:val="16"/>
              </w:rPr>
              <w:t>kemisk risikovurdering</w:t>
            </w:r>
            <w:r w:rsidRPr="00AB474E"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0F7440" w14:textId="4C490882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5EBAB59" w14:textId="28D82FC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05B7955" w14:textId="6AB82304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34D08CB" w14:textId="3FF01059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D191E9E" w14:textId="651860F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7B87077" w14:textId="26DB1844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9BF2945" w14:textId="3E3EB774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8657DD5" w14:textId="23A3595D" w:rsidR="0066629F" w:rsidRPr="00AB474E" w:rsidRDefault="0066629F" w:rsidP="00D355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1A7475F0" w14:textId="789938B4" w:rsidTr="00FA55BD">
        <w:tc>
          <w:tcPr>
            <w:tcW w:w="158" w:type="pct"/>
            <w:shd w:val="clear" w:color="auto" w:fill="auto"/>
          </w:tcPr>
          <w:p w14:paraId="1785ECDA" w14:textId="177FBE0F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4EC7582" w14:textId="70FA5A94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Oplæring og instruktion</w:t>
            </w:r>
            <w:r w:rsidRPr="00AB474E">
              <w:rPr>
                <w:rFonts w:cstheme="minorHAnsi"/>
                <w:sz w:val="16"/>
                <w:szCs w:val="16"/>
              </w:rPr>
              <w:t xml:space="preserve"> ved</w:t>
            </w:r>
            <w:r w:rsidRPr="00AB474E">
              <w:rPr>
                <w:rFonts w:cstheme="minorHAnsi"/>
                <w:sz w:val="16"/>
                <w:szCs w:val="16"/>
              </w:rPr>
              <w:br/>
              <w:t>asbestarbejde §31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E64D850" w14:textId="023BEFC5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DCB57F7" w14:textId="5069FA5C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4F9195E" w14:textId="3524506E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B1F78E2" w14:textId="77B00A5C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CFA95F1" w14:textId="6D5759D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4571805" w14:textId="22CB020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C4126A5" w14:textId="6119AF84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</w:tcPr>
          <w:p w14:paraId="292159E9" w14:textId="4CA80E37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70313A24" w14:textId="7F8317AF" w:rsidTr="00FA55BD">
        <w:tc>
          <w:tcPr>
            <w:tcW w:w="158" w:type="pct"/>
            <w:shd w:val="clear" w:color="auto" w:fill="auto"/>
          </w:tcPr>
          <w:p w14:paraId="216E105E" w14:textId="2B8134C1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DE9B6F0" w14:textId="07DC1714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18-års aldersgrænse</w:t>
            </w:r>
            <w:r w:rsidRPr="00AB474E">
              <w:rPr>
                <w:rFonts w:cstheme="minorHAnsi"/>
                <w:sz w:val="16"/>
                <w:szCs w:val="16"/>
              </w:rPr>
              <w:t xml:space="preserve"> (Normalt)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A1BE416" w14:textId="3C7B9240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B0A0419" w14:textId="6BA67E02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13A3DF" w14:textId="4D2E6F17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8DD2B05" w14:textId="378A5812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3A4C0055" w14:textId="116D4AD9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10B5A123" w14:textId="5A4E4EB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2F3708B" w14:textId="092FB2E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</w:tcPr>
          <w:p w14:paraId="63307ED2" w14:textId="66362E1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19C0896B" w14:textId="567E2E02" w:rsidTr="00FA55BD">
        <w:tc>
          <w:tcPr>
            <w:tcW w:w="158" w:type="pct"/>
            <w:shd w:val="clear" w:color="auto" w:fill="auto"/>
          </w:tcPr>
          <w:p w14:paraId="5FC5173A" w14:textId="033B5549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4E56735" w14:textId="16769F2C" w:rsidR="0066629F" w:rsidRPr="00787E00" w:rsidRDefault="0066629F" w:rsidP="006662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Skiltning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FB50D41" w14:textId="42A9B8B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CA6EE0" w14:textId="04212B17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1AFD40" w14:textId="0968AB1D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321C584" w14:textId="51616CB3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640C4F61" w14:textId="47C81D8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474E2B6F" w14:textId="273A9B11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CE50A15" w14:textId="0E5BAA87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</w:tcPr>
          <w:p w14:paraId="41B7D5E6" w14:textId="4E8D35C1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 xml:space="preserve">X </w:t>
            </w:r>
          </w:p>
        </w:tc>
      </w:tr>
      <w:tr w:rsidR="00F85AD7" w:rsidRPr="00AB474E" w14:paraId="718334FA" w14:textId="4495A3DC" w:rsidTr="00FA55BD">
        <w:tc>
          <w:tcPr>
            <w:tcW w:w="158" w:type="pct"/>
            <w:shd w:val="clear" w:color="auto" w:fill="auto"/>
          </w:tcPr>
          <w:p w14:paraId="01726ABC" w14:textId="34F65778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E7E8023" w14:textId="4F71C8F7" w:rsidR="0066629F" w:rsidRPr="00AB474E" w:rsidRDefault="0066629F" w:rsidP="0066629F">
            <w:pPr>
              <w:spacing w:line="259" w:lineRule="auto"/>
              <w:rPr>
                <w:rFonts w:eastAsia="Times New Roman" w:cstheme="minorHAnsi"/>
                <w:kern w:val="0"/>
                <w:sz w:val="16"/>
                <w:szCs w:val="16"/>
                <w:lang w:eastAsia="da-DK"/>
                <w14:ligatures w14:val="none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Afgrænsning – tydelig - af områder med asbestarbejde</w:t>
            </w:r>
            <w:r w:rsidRPr="00AB474E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606AE5B" w14:textId="23F3B853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95BCBC6" w14:textId="57F3085D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6DC3DA5" w14:textId="0F791E47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1E82D7C" w14:textId="2193F7C7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1A5484B" w14:textId="21A3545D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CD32529" w14:textId="64434CB2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B456D69" w14:textId="04E2303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BBBF774" w14:textId="7531DE4B" w:rsidR="0066629F" w:rsidRPr="00AB474E" w:rsidRDefault="00D3557E" w:rsidP="0011415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6FF6334C" w14:textId="3510F063" w:rsidTr="00FA55BD">
        <w:tc>
          <w:tcPr>
            <w:tcW w:w="158" w:type="pct"/>
            <w:shd w:val="clear" w:color="auto" w:fill="auto"/>
          </w:tcPr>
          <w:p w14:paraId="3A490535" w14:textId="666BBA4B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37E9070" w14:textId="1D755BA2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Arbejdsmetoder og tekniske hjælpemidler</w:t>
            </w:r>
            <w:r w:rsidRPr="00AB474E">
              <w:rPr>
                <w:rFonts w:cstheme="minorHAnsi"/>
                <w:sz w:val="16"/>
                <w:szCs w:val="16"/>
              </w:rPr>
              <w:t xml:space="preserve"> der mest muligt begrænser støv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977D740" w14:textId="08067A16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589B429" w14:textId="7B864D5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5B88E75" w14:textId="348B39C0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4E92C68" w14:textId="44956496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6A522160" w14:textId="13259C48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ED142F8" w14:textId="6BD75C2E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3FF837AA" w14:textId="77777777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02CECE" w14:textId="307C3E6A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FC47CD8" w14:textId="29733131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5E2D83C" w14:textId="7247FE14" w:rsidR="0066629F" w:rsidRPr="00AB474E" w:rsidRDefault="0066629F" w:rsidP="001141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6AD9E204" w14:textId="4A8E6092" w:rsidTr="00FA55BD">
        <w:tc>
          <w:tcPr>
            <w:tcW w:w="158" w:type="pct"/>
            <w:shd w:val="clear" w:color="auto" w:fill="auto"/>
          </w:tcPr>
          <w:p w14:paraId="6F546006" w14:textId="447CA4FA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CED71DE" w14:textId="1E599FCE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Løbende rengøring</w:t>
            </w:r>
            <w:r w:rsidRPr="00AB474E">
              <w:rPr>
                <w:rFonts w:cstheme="minorHAnsi"/>
                <w:sz w:val="16"/>
                <w:szCs w:val="16"/>
              </w:rPr>
              <w:t xml:space="preserve"> under asbestarbejde og slutrengøring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C3609A0" w14:textId="11B9A0CB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1BE68A" w14:textId="195A50E8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62E3381" w14:textId="5C3337D1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EAE2507" w14:textId="3240996C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9680471" w14:textId="205958BE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67F2164" w14:textId="4FCDE3D3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630D7F7" w14:textId="28A9EF91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1B94A8" w14:textId="4EEB3582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0E3E8ABF" w14:textId="6422E624" w:rsidTr="00FA55BD">
        <w:tc>
          <w:tcPr>
            <w:tcW w:w="158" w:type="pct"/>
            <w:shd w:val="clear" w:color="auto" w:fill="auto"/>
          </w:tcPr>
          <w:p w14:paraId="520CBF20" w14:textId="19CB29C1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BEFA6F3" w14:textId="12F4BD3E" w:rsidR="0066629F" w:rsidRPr="00AB474E" w:rsidRDefault="0066629F" w:rsidP="0066629F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Affald samles</w:t>
            </w:r>
            <w:r w:rsidRPr="00AB474E">
              <w:rPr>
                <w:rFonts w:cstheme="minorHAnsi"/>
                <w:sz w:val="16"/>
                <w:szCs w:val="16"/>
              </w:rPr>
              <w:t xml:space="preserve"> hurtigst muligt, befugtes, emballeres og transporteres i lukket emballage mærket med asbest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3E4865A" w14:textId="4C5A06B2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1030EE0" w14:textId="34BFA944" w:rsidR="0066629F" w:rsidRPr="00AB474E" w:rsidRDefault="0066629F" w:rsidP="006662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2512CC5" w14:textId="17408CB1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CEE9A9C" w14:textId="734A9049" w:rsidR="0066629F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5E7BAC" w14:textId="3600EE6A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CBB3638" w14:textId="61B8086F" w:rsidR="0066629F" w:rsidRPr="00AB474E" w:rsidRDefault="0066629F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51C0026" w14:textId="258A4E8E" w:rsidR="0066629F" w:rsidRPr="00AB474E" w:rsidRDefault="004F66DC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9E3EF9C" w14:textId="14A1C763" w:rsidR="0066629F" w:rsidRPr="00AB474E" w:rsidRDefault="004F66DC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40FB2E3F" w14:textId="286C092B" w:rsidTr="00FA55BD">
        <w:tc>
          <w:tcPr>
            <w:tcW w:w="158" w:type="pct"/>
            <w:shd w:val="clear" w:color="auto" w:fill="auto"/>
          </w:tcPr>
          <w:p w14:paraId="669FDCAA" w14:textId="5389DEF6" w:rsidR="005405BB" w:rsidRPr="00AB474E" w:rsidRDefault="005405BB" w:rsidP="00933B5A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9364748" w14:textId="4E0D1307" w:rsidR="005405BB" w:rsidRPr="00AB474E" w:rsidRDefault="005405BB" w:rsidP="00933B5A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Åndedrætsværn</w:t>
            </w:r>
            <w:r w:rsidRPr="00AB474E">
              <w:rPr>
                <w:rFonts w:cstheme="minorHAnsi"/>
                <w:sz w:val="16"/>
                <w:szCs w:val="16"/>
              </w:rPr>
              <w:t xml:space="preserve"> anvendes ved risiko for udsættelse for asbeststøv, og alle ansatte skal </w:t>
            </w:r>
            <w:r w:rsidRPr="00AB474E">
              <w:rPr>
                <w:rFonts w:cstheme="minorHAnsi"/>
                <w:sz w:val="16"/>
                <w:szCs w:val="16"/>
              </w:rPr>
              <w:lastRenderedPageBreak/>
              <w:t>have udleveret egnet åndedrætsværn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598D31" w14:textId="44AE7886" w:rsidR="005405BB" w:rsidRPr="00AB474E" w:rsidRDefault="005405BB" w:rsidP="00933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08A6A31" w14:textId="74528A41" w:rsidR="005405BB" w:rsidRPr="00AB474E" w:rsidRDefault="005405BB" w:rsidP="00933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1073930" w14:textId="0E8E2860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B957EC8" w14:textId="33B6EB55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918A806" w14:textId="5BA47C9A" w:rsidR="005405BB" w:rsidRPr="00AB474E" w:rsidRDefault="005405BB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1F2E04C" w14:textId="33CBD1D9" w:rsidR="005405BB" w:rsidRPr="00AB474E" w:rsidRDefault="005405BB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D938FAA" w14:textId="2D3E49CD" w:rsidR="005405BB" w:rsidRPr="00AB474E" w:rsidRDefault="005405BB" w:rsidP="00933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A873C3" w14:textId="6ACF551F" w:rsidR="005405BB" w:rsidRPr="00AB474E" w:rsidRDefault="005405BB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5EE3DFE6" w14:textId="006DE213" w:rsidTr="00FA55BD">
        <w:tc>
          <w:tcPr>
            <w:tcW w:w="158" w:type="pct"/>
            <w:shd w:val="clear" w:color="auto" w:fill="auto"/>
          </w:tcPr>
          <w:p w14:paraId="6A288A83" w14:textId="5F179010" w:rsidR="005405BB" w:rsidRPr="00AB474E" w:rsidRDefault="005405BB" w:rsidP="00933B5A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70C26A7" w14:textId="1DE15FE5" w:rsidR="005405BB" w:rsidRPr="00AB474E" w:rsidRDefault="005405BB" w:rsidP="00933B5A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Egnede personlige værnemidler</w:t>
            </w:r>
            <w:r w:rsidRPr="00AB474E">
              <w:rPr>
                <w:rFonts w:cstheme="minorHAnsi"/>
                <w:sz w:val="16"/>
                <w:szCs w:val="16"/>
              </w:rPr>
              <w:t xml:space="preserve"> (fx støvafvisende arbejdstøj) ved risiko for udsættelse for asbeststøv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833A12B" w14:textId="660F9BA7" w:rsidR="005405BB" w:rsidRPr="00AB474E" w:rsidRDefault="005405BB" w:rsidP="002C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FBAD9EA" w14:textId="7FD340E3" w:rsidR="005405BB" w:rsidRPr="00AB474E" w:rsidRDefault="005405BB" w:rsidP="002C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5DEF42B" w14:textId="7EAF950E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C8DD9D3" w14:textId="0B6EDB0C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46EA68" w14:textId="712D93D9" w:rsidR="005405BB" w:rsidRPr="00AB474E" w:rsidRDefault="005405BB" w:rsidP="002C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19B701F" w14:textId="336B6738" w:rsidR="005405BB" w:rsidRPr="00AB474E" w:rsidRDefault="005405BB" w:rsidP="002C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293506" w14:textId="3A63AB0F" w:rsidR="005405BB" w:rsidRPr="00AB474E" w:rsidRDefault="005405BB" w:rsidP="002C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286AB67" w14:textId="2F016F8A" w:rsidR="005405BB" w:rsidRPr="00AB474E" w:rsidRDefault="005405BB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64E886D1" w14:textId="536A403F" w:rsidTr="00FA55BD">
        <w:tc>
          <w:tcPr>
            <w:tcW w:w="158" w:type="pct"/>
            <w:shd w:val="clear" w:color="auto" w:fill="auto"/>
          </w:tcPr>
          <w:p w14:paraId="7CEEBDD0" w14:textId="34522EE4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B51AFD9" w14:textId="48EB10C2" w:rsidR="005405BB" w:rsidRPr="00787E00" w:rsidRDefault="005405BB" w:rsidP="00D26D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Forundersøgelser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D3F86A" w14:textId="79394D82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9EDD985" w14:textId="265F697E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5B59703" w14:textId="30F64468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660197" w14:textId="36D6138E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24BE8315" w14:textId="68EA665E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3BB78636" w14:textId="0FA8A914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AA48755" w14:textId="6B6B483F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</w:tcPr>
          <w:p w14:paraId="2E2F8E36" w14:textId="6520BC8D" w:rsidR="005405BB" w:rsidRPr="00AB474E" w:rsidRDefault="005405BB" w:rsidP="00D26D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1459F75A" w14:textId="716F7D30" w:rsidTr="00FA55BD">
        <w:tc>
          <w:tcPr>
            <w:tcW w:w="158" w:type="pct"/>
            <w:shd w:val="clear" w:color="auto" w:fill="auto"/>
          </w:tcPr>
          <w:p w14:paraId="613D7B6F" w14:textId="049A6E79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F3E0A4E" w14:textId="5B378678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E014AC">
              <w:rPr>
                <w:rFonts w:cstheme="minorHAnsi"/>
                <w:b/>
                <w:bCs/>
                <w:sz w:val="16"/>
                <w:szCs w:val="16"/>
              </w:rPr>
              <w:t>Afhængigt af APV</w:t>
            </w:r>
            <w:r w:rsidRPr="00AB474E">
              <w:rPr>
                <w:rFonts w:cstheme="minorHAnsi"/>
                <w:sz w:val="16"/>
                <w:szCs w:val="16"/>
              </w:rPr>
              <w:t xml:space="preserve"> jf. §8 og for at sikre at GV for asbest overholdes skal </w:t>
            </w:r>
            <w:r w:rsidRPr="00787E00">
              <w:rPr>
                <w:rFonts w:cstheme="minorHAnsi"/>
                <w:b/>
                <w:bCs/>
                <w:sz w:val="16"/>
                <w:szCs w:val="16"/>
              </w:rPr>
              <w:t>luftmålinger</w:t>
            </w:r>
            <w:r w:rsidRPr="00AB474E">
              <w:rPr>
                <w:rFonts w:cstheme="minorHAnsi"/>
                <w:sz w:val="16"/>
                <w:szCs w:val="16"/>
              </w:rPr>
              <w:t xml:space="preserve"> foretages regelmæssigt.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A1E4F19" w14:textId="4A4E35DE" w:rsidR="005405BB" w:rsidRPr="00AB474E" w:rsidRDefault="005405BB" w:rsidP="00E251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7CD26C2" w14:textId="35757358" w:rsidR="005405BB" w:rsidRPr="00AB474E" w:rsidRDefault="005405BB" w:rsidP="00E251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177B7E1" w14:textId="72AB093E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B639C45" w14:textId="4DB91144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454AE8E" w14:textId="7B579E5F" w:rsidR="005405BB" w:rsidRPr="00AB474E" w:rsidRDefault="005405BB" w:rsidP="00E251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FB93B66" w14:textId="68E374C9" w:rsidR="005405BB" w:rsidRPr="00AB474E" w:rsidRDefault="005405BB" w:rsidP="00E251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28B2A3" w14:textId="79044504" w:rsidR="005405BB" w:rsidRPr="00AB474E" w:rsidRDefault="005405BB" w:rsidP="00E251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D2296E4" w14:textId="49B6DA66" w:rsidR="005405BB" w:rsidRPr="00AB474E" w:rsidRDefault="004F66DC" w:rsidP="004F66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2537FD99" w14:textId="13039DCB" w:rsidTr="00FA55BD">
        <w:tc>
          <w:tcPr>
            <w:tcW w:w="158" w:type="pct"/>
            <w:shd w:val="clear" w:color="auto" w:fill="auto"/>
          </w:tcPr>
          <w:p w14:paraId="58C12ADC" w14:textId="3DE91607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B1F6CFD" w14:textId="5A6AE1BB" w:rsidR="005405BB" w:rsidRPr="00AB474E" w:rsidRDefault="005405BB" w:rsidP="00FA55BD">
            <w:pPr>
              <w:rPr>
                <w:rFonts w:cstheme="minorHAnsi"/>
                <w:sz w:val="16"/>
                <w:szCs w:val="16"/>
              </w:rPr>
            </w:pPr>
            <w:r w:rsidRPr="00787E00">
              <w:rPr>
                <w:rFonts w:cstheme="minorHAnsi"/>
                <w:b/>
                <w:bCs/>
                <w:sz w:val="16"/>
                <w:szCs w:val="16"/>
              </w:rPr>
              <w:t>Geltapeprøver eller lignende (fx luftmålinger)</w:t>
            </w:r>
            <w:r w:rsidRPr="00AB474E">
              <w:rPr>
                <w:rFonts w:cstheme="minorHAnsi"/>
                <w:sz w:val="16"/>
                <w:szCs w:val="16"/>
              </w:rPr>
              <w:t xml:space="preserve"> skal tages hvis nødvendigt for at fastslå om synligt støv eller hvis behov efter slutrengøring</w:t>
            </w:r>
            <w:r w:rsidR="00FA55BD">
              <w:rPr>
                <w:rFonts w:cstheme="minorHAnsi"/>
                <w:sz w:val="16"/>
                <w:szCs w:val="16"/>
              </w:rPr>
              <w:t xml:space="preserve">. </w:t>
            </w:r>
            <w:r w:rsidRPr="00AF325D">
              <w:rPr>
                <w:rFonts w:cstheme="minorHAnsi"/>
                <w:sz w:val="16"/>
                <w:szCs w:val="16"/>
              </w:rPr>
              <w:t xml:space="preserve">NB hvis der er synligt støv skal der inden måling rengøres så der ikke </w:t>
            </w:r>
            <w:r w:rsidR="00787E00" w:rsidRPr="00AF325D">
              <w:rPr>
                <w:rFonts w:cstheme="minorHAnsi"/>
                <w:sz w:val="16"/>
                <w:szCs w:val="16"/>
              </w:rPr>
              <w:t>er synligt</w:t>
            </w:r>
            <w:r w:rsidRPr="00AF325D">
              <w:rPr>
                <w:rFonts w:cstheme="minorHAnsi"/>
                <w:sz w:val="16"/>
                <w:szCs w:val="16"/>
              </w:rPr>
              <w:t xml:space="preserve"> støv.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FA4E574" w14:textId="1AEF5728" w:rsidR="005405BB" w:rsidRPr="00AB474E" w:rsidRDefault="005405BB" w:rsidP="00921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40347D1" w14:textId="6AEF5852" w:rsidR="005405BB" w:rsidRPr="00AB474E" w:rsidRDefault="005405BB" w:rsidP="00921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016075B" w14:textId="268E89F5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414B6E8" w14:textId="4FD84002" w:rsidR="005405BB" w:rsidRPr="00AB474E" w:rsidRDefault="0066629F" w:rsidP="00470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CE6EB00" w14:textId="676EE359" w:rsidR="005405BB" w:rsidRPr="00AB474E" w:rsidRDefault="005405BB" w:rsidP="00921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1D2432E" w14:textId="4AAF788C" w:rsidR="005405BB" w:rsidRPr="00AB474E" w:rsidRDefault="005405BB" w:rsidP="00921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A680FEF" w14:textId="48B07F81" w:rsidR="005405BB" w:rsidRPr="00AB474E" w:rsidRDefault="005405BB" w:rsidP="009217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C93CFB" w14:textId="3309AAE1" w:rsidR="005405BB" w:rsidRPr="00AB474E" w:rsidRDefault="00270496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1FDAE5ED" w14:textId="1F35208F" w:rsidTr="00FA55BD">
        <w:tc>
          <w:tcPr>
            <w:tcW w:w="158" w:type="pct"/>
            <w:shd w:val="clear" w:color="auto" w:fill="auto"/>
          </w:tcPr>
          <w:p w14:paraId="68673E2F" w14:textId="1A1F1A31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020AE80" w14:textId="26DBE708" w:rsidR="005405BB" w:rsidRPr="00AB474E" w:rsidRDefault="005405BB" w:rsidP="00D26D00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Registreringspligt - af beskadiget asbest</w:t>
            </w:r>
            <w:r w:rsidRPr="00AB474E">
              <w:rPr>
                <w:rFonts w:cstheme="minorHAnsi"/>
                <w:sz w:val="16"/>
                <w:szCs w:val="16"/>
              </w:rPr>
              <w:t xml:space="preserve"> eller risiko for udsættelse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0D357AB" w14:textId="6030DEF9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6D6F591" w14:textId="4DE6D5FD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A2F3377" w14:textId="454F4E5A" w:rsidR="005405BB" w:rsidRPr="00AB474E" w:rsidRDefault="0066629F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50E2775" w14:textId="71CF2B24" w:rsidR="005405BB" w:rsidRPr="00AB474E" w:rsidRDefault="0066629F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97893A" w14:textId="0C0FD90F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3784FD7" w14:textId="3825784F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99B8F72" w14:textId="12CE0DCD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42ECA57" w14:textId="470B68EE" w:rsidR="005405BB" w:rsidRPr="00AB474E" w:rsidRDefault="005405BB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2BBA5FEE" w14:textId="221554E2" w:rsidTr="00FA55BD">
        <w:tc>
          <w:tcPr>
            <w:tcW w:w="158" w:type="pct"/>
            <w:shd w:val="clear" w:color="auto" w:fill="auto"/>
          </w:tcPr>
          <w:p w14:paraId="076D9966" w14:textId="4A0659CF" w:rsidR="005405BB" w:rsidRPr="00AB474E" w:rsidRDefault="005405BB" w:rsidP="002E486E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2A29402" w14:textId="43DD69CF" w:rsidR="005405BB" w:rsidRPr="00002E52" w:rsidRDefault="005405BB" w:rsidP="002E486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Helbredsundersøgelser</w:t>
            </w:r>
          </w:p>
        </w:tc>
        <w:tc>
          <w:tcPr>
            <w:tcW w:w="422" w:type="pct"/>
            <w:shd w:val="clear" w:color="auto" w:fill="auto"/>
          </w:tcPr>
          <w:p w14:paraId="0214BBD0" w14:textId="2030FEA5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</w:tcPr>
          <w:p w14:paraId="7075DF0B" w14:textId="12A5CE9F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</w:tcPr>
          <w:p w14:paraId="4CEA0867" w14:textId="4303548B" w:rsidR="005405BB" w:rsidRPr="00AB474E" w:rsidRDefault="0066629F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</w:tcPr>
          <w:p w14:paraId="6FE42942" w14:textId="361C728E" w:rsidR="005405BB" w:rsidRPr="00AB474E" w:rsidRDefault="0066629F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74FAA9F2" w14:textId="3B0CAA0B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4F56B0E9" w14:textId="21119133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</w:tcPr>
          <w:p w14:paraId="4BCDA832" w14:textId="0A386803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</w:tcPr>
          <w:p w14:paraId="27661D72" w14:textId="403E567C" w:rsidR="005405BB" w:rsidRPr="00AB474E" w:rsidRDefault="00270496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  <w:tr w:rsidR="00F85AD7" w:rsidRPr="00AB474E" w14:paraId="280C181E" w14:textId="138472DC" w:rsidTr="00FA55BD">
        <w:tc>
          <w:tcPr>
            <w:tcW w:w="158" w:type="pct"/>
            <w:shd w:val="clear" w:color="auto" w:fill="auto"/>
          </w:tcPr>
          <w:p w14:paraId="56B3367E" w14:textId="337B6D4A" w:rsidR="005405BB" w:rsidRPr="00AB474E" w:rsidRDefault="005405BB" w:rsidP="002E486E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43E5964" w14:textId="5D3AF5DF" w:rsidR="005405BB" w:rsidRPr="00AB474E" w:rsidRDefault="005405BB" w:rsidP="002E486E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Registrering i protokol</w:t>
            </w:r>
            <w:r w:rsidRPr="00AB474E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2" w:type="pct"/>
            <w:shd w:val="clear" w:color="auto" w:fill="auto"/>
          </w:tcPr>
          <w:p w14:paraId="56F80E18" w14:textId="20CBF5C4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</w:tcPr>
          <w:p w14:paraId="0541947A" w14:textId="4BA01D45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</w:tcPr>
          <w:p w14:paraId="4AB06497" w14:textId="110B503B" w:rsidR="005405BB" w:rsidRPr="00AB474E" w:rsidRDefault="0066629F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shd w:val="clear" w:color="auto" w:fill="auto"/>
          </w:tcPr>
          <w:p w14:paraId="37198FE9" w14:textId="7C6385A7" w:rsidR="005405BB" w:rsidRPr="00AB474E" w:rsidRDefault="0066629F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3FE9B30F" w14:textId="1D126880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03871CC5" w14:textId="331B10FC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</w:tcPr>
          <w:p w14:paraId="71676EA1" w14:textId="30FAF2D6" w:rsidR="005405BB" w:rsidRPr="00AB474E" w:rsidRDefault="005405BB" w:rsidP="00AF325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</w:tcPr>
          <w:p w14:paraId="5B373098" w14:textId="1E87AEF9" w:rsidR="005405BB" w:rsidRPr="00AB474E" w:rsidRDefault="00270496" w:rsidP="00AF32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  <w:tr w:rsidR="00F85AD7" w:rsidRPr="00AB474E" w14:paraId="6E766DAF" w14:textId="6F502CC7" w:rsidTr="00FA55BD">
        <w:tc>
          <w:tcPr>
            <w:tcW w:w="158" w:type="pct"/>
          </w:tcPr>
          <w:p w14:paraId="5C0E4289" w14:textId="5AFF7C5E" w:rsidR="005405BB" w:rsidRPr="00AB474E" w:rsidRDefault="005405BB" w:rsidP="00B438E9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96" w:type="pct"/>
          </w:tcPr>
          <w:p w14:paraId="3276B54F" w14:textId="51629D99" w:rsidR="005405BB" w:rsidRPr="00AB474E" w:rsidRDefault="005405BB" w:rsidP="00FA55BD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Autorisation</w:t>
            </w:r>
          </w:p>
        </w:tc>
        <w:tc>
          <w:tcPr>
            <w:tcW w:w="422" w:type="pct"/>
            <w:shd w:val="clear" w:color="auto" w:fill="auto"/>
          </w:tcPr>
          <w:p w14:paraId="0F166BEC" w14:textId="0FC22C2C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</w:tcPr>
          <w:p w14:paraId="6A36F680" w14:textId="02AB2BD1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</w:tcPr>
          <w:p w14:paraId="332C0ED9" w14:textId="77777777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</w:tcPr>
          <w:p w14:paraId="64640B28" w14:textId="6C0FBF55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</w:tcPr>
          <w:p w14:paraId="6ACB1F58" w14:textId="6AB2B203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14:paraId="2E998B03" w14:textId="77777777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14:paraId="3FB3C417" w14:textId="5D520513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</w:tcPr>
          <w:p w14:paraId="71D2CE45" w14:textId="77777777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5AD7" w:rsidRPr="00AB474E" w14:paraId="00F9F81C" w14:textId="3F401032" w:rsidTr="00FA55BD">
        <w:tc>
          <w:tcPr>
            <w:tcW w:w="158" w:type="pct"/>
          </w:tcPr>
          <w:p w14:paraId="7A33D7B3" w14:textId="0843AE77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896" w:type="pct"/>
          </w:tcPr>
          <w:p w14:paraId="27464B9A" w14:textId="10D16269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 xml:space="preserve">Arbejdsplan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ECF0BF7" w14:textId="22C3B988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80AE555" w14:textId="49B15439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vAlign w:val="center"/>
          </w:tcPr>
          <w:p w14:paraId="5C93FB61" w14:textId="7FD8415D" w:rsidR="005405BB" w:rsidRPr="00AB474E" w:rsidRDefault="0066629F" w:rsidP="008B5FF8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6629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14:paraId="2574D239" w14:textId="7BCD5EBA" w:rsidR="005405BB" w:rsidRPr="00AB474E" w:rsidRDefault="005405BB" w:rsidP="005F1BB1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91FD44A" w14:textId="06B7A02B" w:rsidR="005405BB" w:rsidRPr="00AB474E" w:rsidRDefault="0066629F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63D6E37B" w14:textId="10B80866" w:rsidR="005405BB" w:rsidRPr="00AB474E" w:rsidRDefault="005405BB" w:rsidP="005F1B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14:paraId="50EF220C" w14:textId="7F26EA39" w:rsidR="005405BB" w:rsidRPr="00AB474E" w:rsidRDefault="005405BB" w:rsidP="005F1B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</w:tcPr>
          <w:p w14:paraId="17BA33FF" w14:textId="12F47D41" w:rsidR="005405BB" w:rsidRPr="00AB474E" w:rsidRDefault="005405BB" w:rsidP="005F1B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5AD7" w:rsidRPr="00AB474E" w14:paraId="3590AAD7" w14:textId="5D696B57" w:rsidTr="00FA55BD">
        <w:tc>
          <w:tcPr>
            <w:tcW w:w="158" w:type="pct"/>
          </w:tcPr>
          <w:p w14:paraId="7FD8C702" w14:textId="0037330A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896" w:type="pct"/>
          </w:tcPr>
          <w:p w14:paraId="5175CFF6" w14:textId="54328DFF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Særligt oplærings- og instruktionsforløb</w:t>
            </w:r>
            <w:r w:rsidRPr="00AB474E">
              <w:rPr>
                <w:rFonts w:cstheme="minorHAnsi"/>
                <w:sz w:val="16"/>
                <w:szCs w:val="16"/>
              </w:rPr>
              <w:t xml:space="preserve">, §32 stk. 1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FB7F526" w14:textId="77777777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F44720B" w14:textId="2C44DEC8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C2DC42D" w14:textId="60DB1B04" w:rsidR="005405BB" w:rsidRPr="00AB474E" w:rsidRDefault="0066629F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vAlign w:val="center"/>
          </w:tcPr>
          <w:p w14:paraId="70B0AE80" w14:textId="50A85ACB" w:rsidR="005405BB" w:rsidRPr="00AB474E" w:rsidRDefault="0066629F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82B1093" w14:textId="0DB19513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7A949D9" w14:textId="78F20B12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AF2F43D" w14:textId="74B8267C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  <w:vAlign w:val="center"/>
          </w:tcPr>
          <w:p w14:paraId="3047E12B" w14:textId="7E871D0F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F85AD7" w:rsidRPr="00AB474E" w14:paraId="35F66A93" w14:textId="5095EC10" w:rsidTr="001703E7">
        <w:tc>
          <w:tcPr>
            <w:tcW w:w="158" w:type="pct"/>
          </w:tcPr>
          <w:p w14:paraId="4EE4E657" w14:textId="022BA879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96" w:type="pct"/>
          </w:tcPr>
          <w:p w14:paraId="7664DA32" w14:textId="61618405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Uddannelse (asbestcertifikat)</w:t>
            </w:r>
            <w:r w:rsidRPr="00AB474E">
              <w:rPr>
                <w:rFonts w:cstheme="minorHAnsi"/>
                <w:sz w:val="16"/>
                <w:szCs w:val="16"/>
              </w:rPr>
              <w:t xml:space="preserve"> af personer beskæftiget med asbestarbejde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613A14F" w14:textId="48B94B2E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A2011F8" w14:textId="282B3D75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vAlign w:val="center"/>
          </w:tcPr>
          <w:p w14:paraId="1FDDD9AE" w14:textId="77777777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  <w:vAlign w:val="center"/>
          </w:tcPr>
          <w:p w14:paraId="770C7F77" w14:textId="346784F1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</w:tcPr>
          <w:p w14:paraId="23D2E586" w14:textId="01FA7F63" w:rsidR="001703E7" w:rsidRDefault="001703E7" w:rsidP="001703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  <w:p w14:paraId="2B372D22" w14:textId="5B2E8C8D" w:rsidR="005405BB" w:rsidRPr="00563364" w:rsidRDefault="001703E7" w:rsidP="001703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563364" w:rsidRPr="00563364">
              <w:rPr>
                <w:rFonts w:cstheme="minorHAnsi"/>
                <w:sz w:val="16"/>
                <w:szCs w:val="16"/>
              </w:rPr>
              <w:t xml:space="preserve">edrivning </w:t>
            </w:r>
            <w:r w:rsidR="00563364" w:rsidRPr="00563364">
              <w:rPr>
                <w:rFonts w:cstheme="minorHAnsi"/>
                <w:b/>
                <w:bCs/>
                <w:sz w:val="16"/>
                <w:szCs w:val="16"/>
              </w:rPr>
              <w:t>indvendigt</w:t>
            </w:r>
            <w:r w:rsidR="00563364" w:rsidRPr="00563364">
              <w:rPr>
                <w:rFonts w:cstheme="minorHAnsi"/>
                <w:sz w:val="16"/>
                <w:szCs w:val="16"/>
              </w:rPr>
              <w:t xml:space="preserve"> vil kræve</w:t>
            </w:r>
            <w:r w:rsidR="00563364">
              <w:rPr>
                <w:rFonts w:cstheme="minorHAnsi"/>
                <w:sz w:val="16"/>
                <w:szCs w:val="16"/>
              </w:rPr>
              <w:t xml:space="preserve"> uddannelse </w:t>
            </w:r>
            <w:r w:rsidR="00101083">
              <w:rPr>
                <w:rFonts w:cstheme="minorHAnsi"/>
                <w:sz w:val="16"/>
                <w:szCs w:val="16"/>
              </w:rPr>
              <w:t>– dog ikke</w:t>
            </w:r>
            <w:r w:rsidR="00563364">
              <w:rPr>
                <w:rFonts w:cstheme="minorHAnsi"/>
                <w:sz w:val="16"/>
                <w:szCs w:val="16"/>
              </w:rPr>
              <w:t xml:space="preserve"> for private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45E6A98" w14:textId="77777777" w:rsidR="005405BB" w:rsidRPr="00AB474E" w:rsidRDefault="005405BB" w:rsidP="008B5FF8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7D9B8130" w14:textId="2058825F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F6CA4AD" w14:textId="1482EBC4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228DF98E" w14:textId="3F7A9A6B" w:rsidR="005405BB" w:rsidRPr="00AB474E" w:rsidRDefault="00270496" w:rsidP="002704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  <w:tr w:rsidR="00F85AD7" w:rsidRPr="00AB474E" w14:paraId="276110A0" w14:textId="3BAB8AF6" w:rsidTr="00FA55BD">
        <w:tc>
          <w:tcPr>
            <w:tcW w:w="158" w:type="pct"/>
          </w:tcPr>
          <w:p w14:paraId="56590197" w14:textId="4F46881F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96" w:type="pct"/>
          </w:tcPr>
          <w:p w14:paraId="4FA8EC78" w14:textId="348AF1F8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Godtgøre</w:t>
            </w:r>
            <w:r w:rsidR="00545358">
              <w:rPr>
                <w:rFonts w:cstheme="minorHAnsi"/>
                <w:sz w:val="16"/>
                <w:szCs w:val="16"/>
              </w:rPr>
              <w:t xml:space="preserve"> </w:t>
            </w:r>
            <w:r w:rsidRPr="00002E52">
              <w:rPr>
                <w:rFonts w:cstheme="minorHAnsi"/>
                <w:b/>
                <w:bCs/>
                <w:sz w:val="16"/>
                <w:szCs w:val="16"/>
              </w:rPr>
              <w:t xml:space="preserve">virksomheden kvalificeret </w:t>
            </w:r>
            <w:r w:rsidRPr="00AB474E">
              <w:rPr>
                <w:rFonts w:cstheme="minorHAnsi"/>
                <w:sz w:val="16"/>
                <w:szCs w:val="16"/>
              </w:rPr>
              <w:t xml:space="preserve">til arbejde med nedrivning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848D04" w14:textId="02AF449B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E2288A0" w14:textId="18E79CB1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vAlign w:val="center"/>
          </w:tcPr>
          <w:p w14:paraId="71C2E10D" w14:textId="77777777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  <w:vAlign w:val="center"/>
          </w:tcPr>
          <w:p w14:paraId="7CA6EA50" w14:textId="1CF4ADF9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6361DCF" w14:textId="3582F968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4A1515D" w14:textId="77777777" w:rsidR="005405BB" w:rsidRPr="00AB474E" w:rsidRDefault="005405BB" w:rsidP="008B5FF8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98FE3F0" w14:textId="1B738C11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0494ECE" w14:textId="51B7F71D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3EFED90F" w14:textId="77777777" w:rsidR="005405BB" w:rsidRPr="00AB474E" w:rsidRDefault="005405BB" w:rsidP="008B5F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5AD7" w:rsidRPr="00AB474E" w14:paraId="7FC6C999" w14:textId="51D9D82F" w:rsidTr="00F92C59">
        <w:tc>
          <w:tcPr>
            <w:tcW w:w="158" w:type="pct"/>
          </w:tcPr>
          <w:p w14:paraId="7F604FD2" w14:textId="510ECDA0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lastRenderedPageBreak/>
              <w:t>22</w:t>
            </w:r>
          </w:p>
        </w:tc>
        <w:tc>
          <w:tcPr>
            <w:tcW w:w="896" w:type="pct"/>
          </w:tcPr>
          <w:p w14:paraId="04C53D75" w14:textId="03257EB3" w:rsidR="005405BB" w:rsidRPr="00AB474E" w:rsidRDefault="005405BB" w:rsidP="00F92C59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Anmeldelse</w:t>
            </w:r>
          </w:p>
        </w:tc>
        <w:tc>
          <w:tcPr>
            <w:tcW w:w="422" w:type="pct"/>
            <w:shd w:val="clear" w:color="auto" w:fill="auto"/>
          </w:tcPr>
          <w:p w14:paraId="1DD3586E" w14:textId="44AA281E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</w:tcPr>
          <w:p w14:paraId="4FF44884" w14:textId="65E695FA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</w:tcPr>
          <w:p w14:paraId="37623797" w14:textId="49E6DC13" w:rsidR="005405BB" w:rsidRPr="00AB474E" w:rsidRDefault="003B7250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</w:tcPr>
          <w:p w14:paraId="562FE08E" w14:textId="768BB708" w:rsidR="005405BB" w:rsidRPr="00AB474E" w:rsidRDefault="004D0748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99" w:type="pct"/>
            <w:shd w:val="clear" w:color="auto" w:fill="auto"/>
          </w:tcPr>
          <w:p w14:paraId="481A29F9" w14:textId="7E43FF19" w:rsidR="005405BB" w:rsidRPr="00AB474E" w:rsidRDefault="005405BB" w:rsidP="00F92C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4" w:type="pct"/>
            <w:shd w:val="clear" w:color="auto" w:fill="auto"/>
          </w:tcPr>
          <w:p w14:paraId="5E0DAF06" w14:textId="119E5E04" w:rsidR="005405BB" w:rsidRPr="00AB474E" w:rsidRDefault="005405BB" w:rsidP="00F92C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shd w:val="clear" w:color="auto" w:fill="auto"/>
          </w:tcPr>
          <w:p w14:paraId="562C625F" w14:textId="22B13E0E" w:rsidR="005405BB" w:rsidRPr="00AB474E" w:rsidRDefault="005405BB" w:rsidP="00FA5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</w:tcPr>
          <w:p w14:paraId="2D4764B5" w14:textId="4250D308" w:rsidR="005405BB" w:rsidRPr="00AB474E" w:rsidRDefault="002E3B68" w:rsidP="00FA55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  <w:tr w:rsidR="00F85AD7" w:rsidRPr="00AB474E" w14:paraId="69B4DC68" w14:textId="26EF413B" w:rsidTr="003666AC">
        <w:tc>
          <w:tcPr>
            <w:tcW w:w="158" w:type="pct"/>
          </w:tcPr>
          <w:p w14:paraId="1F311351" w14:textId="77042D0F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96" w:type="pct"/>
          </w:tcPr>
          <w:p w14:paraId="52FF1157" w14:textId="2CE31889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Støvtæt telt eller lign</w:t>
            </w:r>
            <w:r w:rsidRPr="00AB474E">
              <w:rPr>
                <w:rFonts w:cstheme="minorHAnsi"/>
                <w:sz w:val="16"/>
                <w:szCs w:val="16"/>
              </w:rPr>
              <w:t xml:space="preserve">., </w:t>
            </w:r>
            <w:r w:rsidRPr="00002E52">
              <w:rPr>
                <w:rFonts w:cstheme="minorHAnsi"/>
                <w:b/>
                <w:bCs/>
                <w:sz w:val="16"/>
                <w:szCs w:val="16"/>
              </w:rPr>
              <w:t>luftsluse, undertryk og rensning af udsuget luft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4906DB" w14:textId="2E1AE42B" w:rsidR="005405BB" w:rsidRPr="00AB474E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1E5F079" w14:textId="77777777" w:rsidR="003666AC" w:rsidRDefault="003666AC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7CC8815" w14:textId="6E82FB0C" w:rsidR="00A50E30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A06">
              <w:rPr>
                <w:rFonts w:cstheme="minorHAnsi"/>
                <w:sz w:val="16"/>
                <w:szCs w:val="16"/>
              </w:rPr>
              <w:t>(X)</w:t>
            </w:r>
            <w:r w:rsidR="00740DB5">
              <w:rPr>
                <w:rFonts w:cstheme="minorHAnsi"/>
                <w:sz w:val="16"/>
                <w:szCs w:val="16"/>
              </w:rPr>
              <w:t>*</w:t>
            </w:r>
          </w:p>
          <w:p w14:paraId="7298C7A3" w14:textId="28121722" w:rsidR="00D3557E" w:rsidRPr="00A95A06" w:rsidRDefault="00D3557E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0DDE08FE" w14:textId="77777777" w:rsidR="003666AC" w:rsidRDefault="003666AC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F415ABF" w14:textId="5D472833" w:rsidR="003666AC" w:rsidRPr="00A95A06" w:rsidRDefault="00D3557E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A06">
              <w:rPr>
                <w:rFonts w:cstheme="minorHAnsi"/>
                <w:sz w:val="16"/>
                <w:szCs w:val="16"/>
              </w:rPr>
              <w:t>(X)</w:t>
            </w:r>
            <w:r w:rsidR="00740DB5">
              <w:rPr>
                <w:rFonts w:cstheme="minorHAnsi"/>
                <w:sz w:val="16"/>
                <w:szCs w:val="16"/>
              </w:rPr>
              <w:t>*</w:t>
            </w:r>
          </w:p>
          <w:p w14:paraId="3F838601" w14:textId="2980C6B9" w:rsidR="005405BB" w:rsidRPr="00A95A06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  <w:vAlign w:val="center"/>
          </w:tcPr>
          <w:p w14:paraId="2A3DB155" w14:textId="40A67E77" w:rsidR="005405BB" w:rsidRPr="00A95A06" w:rsidRDefault="00D3557E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A06">
              <w:rPr>
                <w:rFonts w:cstheme="minorHAnsi"/>
                <w:sz w:val="16"/>
                <w:szCs w:val="16"/>
              </w:rPr>
              <w:t>(X)</w:t>
            </w:r>
            <w:r w:rsidR="00740DB5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7E3F14" w14:textId="05C679DC" w:rsidR="005405BB" w:rsidRPr="00A95A06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5F6FF3E" w14:textId="4E4E6D80" w:rsidR="005405BB" w:rsidRPr="00A95A06" w:rsidRDefault="00270496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A06">
              <w:rPr>
                <w:rFonts w:cstheme="minorHAnsi"/>
                <w:sz w:val="16"/>
                <w:szCs w:val="16"/>
              </w:rPr>
              <w:t>(X)</w:t>
            </w:r>
            <w:r w:rsidR="00740DB5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6FCA68" w14:textId="481703BB" w:rsidR="005405BB" w:rsidRPr="00A95A06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4D9D6CDA" w14:textId="77777777" w:rsidR="003666AC" w:rsidRDefault="003666AC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6A4969" w14:textId="1A0BB14C" w:rsidR="00A50E30" w:rsidRDefault="006E1867" w:rsidP="003666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A06">
              <w:rPr>
                <w:rFonts w:cstheme="minorHAnsi"/>
                <w:sz w:val="16"/>
                <w:szCs w:val="16"/>
              </w:rPr>
              <w:t>(X)</w:t>
            </w:r>
            <w:r w:rsidR="00740DB5">
              <w:rPr>
                <w:rFonts w:cstheme="minorHAnsi"/>
                <w:sz w:val="16"/>
                <w:szCs w:val="16"/>
              </w:rPr>
              <w:t>*</w:t>
            </w:r>
          </w:p>
          <w:p w14:paraId="43A6473B" w14:textId="31CBB246" w:rsidR="005405BB" w:rsidRPr="00A95A06" w:rsidRDefault="005405BB" w:rsidP="003666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5AD7" w:rsidRPr="00AB474E" w14:paraId="0B7AE8C8" w14:textId="5D077142" w:rsidTr="00FC5E0D">
        <w:tc>
          <w:tcPr>
            <w:tcW w:w="158" w:type="pct"/>
          </w:tcPr>
          <w:p w14:paraId="0B93158C" w14:textId="4C67BD8D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96" w:type="pct"/>
          </w:tcPr>
          <w:p w14:paraId="3FF166F7" w14:textId="38BED235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002E52">
              <w:rPr>
                <w:rFonts w:cstheme="minorHAnsi"/>
                <w:b/>
                <w:bCs/>
                <w:sz w:val="16"/>
                <w:szCs w:val="16"/>
              </w:rPr>
              <w:t>Særligt omklædningsrum og</w:t>
            </w:r>
            <w:r w:rsidRPr="00002E52">
              <w:rPr>
                <w:rFonts w:cstheme="minorHAnsi"/>
                <w:b/>
                <w:bCs/>
                <w:sz w:val="16"/>
                <w:szCs w:val="16"/>
              </w:rPr>
              <w:br/>
              <w:t>baderum (bad som sluse)</w:t>
            </w:r>
            <w:r w:rsidRPr="00AB474E">
              <w:rPr>
                <w:rFonts w:cstheme="minorHAnsi"/>
                <w:sz w:val="16"/>
                <w:szCs w:val="16"/>
              </w:rPr>
              <w:t xml:space="preserve"> + velfærd som efter øvrige regler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B07F17E" w14:textId="7D837220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AC8277E" w14:textId="36BE3A8C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22" w:type="pct"/>
            <w:vAlign w:val="center"/>
          </w:tcPr>
          <w:p w14:paraId="668BB941" w14:textId="77777777" w:rsidR="00FC5E0D" w:rsidRDefault="00FC5E0D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BA0C1B3" w14:textId="42FC5D15" w:rsidR="002E7CDC" w:rsidRPr="00AB474E" w:rsidRDefault="002E7CDC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  <w:p w14:paraId="4F9DEB73" w14:textId="7480C308" w:rsidR="005405BB" w:rsidRPr="00AB474E" w:rsidRDefault="005405BB" w:rsidP="00FC5E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  <w:vAlign w:val="center"/>
          </w:tcPr>
          <w:p w14:paraId="0447934B" w14:textId="77777777" w:rsidR="00FC5E0D" w:rsidRDefault="00FC5E0D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307B2F" w14:textId="194EEF85" w:rsidR="002E7CDC" w:rsidRPr="00AB474E" w:rsidRDefault="002E7CDC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  <w:p w14:paraId="03E64641" w14:textId="0AC70E3C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F9078C2" w14:textId="77777777" w:rsidR="00FC5E0D" w:rsidRDefault="00FC5E0D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A9C674" w14:textId="48EA4CC8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  <w:p w14:paraId="10D0AEEA" w14:textId="1179BEE2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F3EBC9B" w14:textId="77777777" w:rsidR="00FC5E0D" w:rsidRDefault="00FC5E0D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F5C130" w14:textId="44759E17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  <w:p w14:paraId="4866BDBE" w14:textId="069CA897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75D50B" w14:textId="4341A514" w:rsidR="005405BB" w:rsidRPr="00AB474E" w:rsidRDefault="005405BB" w:rsidP="00FC5E0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3" w:type="pct"/>
            <w:vAlign w:val="center"/>
          </w:tcPr>
          <w:p w14:paraId="0190CE1E" w14:textId="62774FAB" w:rsidR="005405BB" w:rsidRPr="00AB474E" w:rsidRDefault="006E1867" w:rsidP="00FC5E0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  <w:tr w:rsidR="00F85AD7" w:rsidRPr="00AB474E" w14:paraId="10BEB3FC" w14:textId="2B3FFFE9" w:rsidTr="00FA55BD">
        <w:tc>
          <w:tcPr>
            <w:tcW w:w="158" w:type="pct"/>
          </w:tcPr>
          <w:p w14:paraId="4D715010" w14:textId="19D0BE09" w:rsidR="005405BB" w:rsidRPr="00AB474E" w:rsidRDefault="005405BB" w:rsidP="003652C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96" w:type="pct"/>
          </w:tcPr>
          <w:p w14:paraId="7BE442CE" w14:textId="24AE4A9E" w:rsidR="005405BB" w:rsidRPr="00AB474E" w:rsidRDefault="005405BB" w:rsidP="004562EC">
            <w:pPr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Adgang til omklædningsrum,</w:t>
            </w:r>
            <w:r w:rsidRPr="00AB474E">
              <w:rPr>
                <w:rFonts w:cstheme="minorHAnsi"/>
                <w:sz w:val="16"/>
                <w:szCs w:val="16"/>
              </w:rPr>
              <w:br/>
              <w:t xml:space="preserve">håndvask og bruserum + </w:t>
            </w:r>
            <w:r w:rsidRPr="00002E52">
              <w:rPr>
                <w:rFonts w:cstheme="minorHAnsi"/>
                <w:b/>
                <w:bCs/>
                <w:sz w:val="16"/>
                <w:szCs w:val="16"/>
              </w:rPr>
              <w:t>velfærd som efter øvrige regler</w:t>
            </w:r>
          </w:p>
        </w:tc>
        <w:tc>
          <w:tcPr>
            <w:tcW w:w="422" w:type="pct"/>
            <w:shd w:val="clear" w:color="auto" w:fill="auto"/>
          </w:tcPr>
          <w:p w14:paraId="7EE3E1BA" w14:textId="61416101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</w:tcPr>
          <w:p w14:paraId="07579762" w14:textId="24334F1D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</w:tcPr>
          <w:p w14:paraId="5B227DC4" w14:textId="77777777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" w:type="pct"/>
          </w:tcPr>
          <w:p w14:paraId="11EB6D5E" w14:textId="785E77AF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</w:tcPr>
          <w:p w14:paraId="1746721A" w14:textId="3421DB6B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9E5CCF4" w14:textId="342784B9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14:paraId="37E65815" w14:textId="77777777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F81EB1D" w14:textId="53A04BEC" w:rsidR="005405BB" w:rsidRPr="00AB474E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D5FD6C2" w14:textId="2889F4D2" w:rsidR="005405BB" w:rsidRPr="00AB474E" w:rsidRDefault="005405BB" w:rsidP="006E18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474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73" w:type="pct"/>
          </w:tcPr>
          <w:p w14:paraId="06AB4DD1" w14:textId="77777777" w:rsidR="005405BB" w:rsidRDefault="005405BB" w:rsidP="004562E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494B29" w14:textId="62061F13" w:rsidR="006E1867" w:rsidRPr="00AB474E" w:rsidRDefault="006E1867" w:rsidP="004562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(X)</w:t>
            </w:r>
          </w:p>
        </w:tc>
      </w:tr>
    </w:tbl>
    <w:p w14:paraId="36B39A83" w14:textId="77777777" w:rsidR="00E25FE2" w:rsidRDefault="00E25FE2" w:rsidP="00CF352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3A1A6342" w14:textId="2FC34C56" w:rsidR="00740DB5" w:rsidRPr="00740DB5" w:rsidRDefault="00740DB5" w:rsidP="003A69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740DB5">
        <w:rPr>
          <w:rFonts w:asciiTheme="minorHAnsi" w:hAnsiTheme="minorHAnsi" w:cstheme="minorHAnsi"/>
          <w:sz w:val="18"/>
          <w:szCs w:val="18"/>
        </w:rPr>
        <w:t>*</w:t>
      </w:r>
      <w:r w:rsidRPr="00740DB5">
        <w:rPr>
          <w:rFonts w:cstheme="minorHAnsi"/>
          <w:sz w:val="18"/>
          <w:szCs w:val="18"/>
        </w:rPr>
        <w:t xml:space="preserve"> </w:t>
      </w:r>
      <w:r w:rsidR="002445DA" w:rsidRPr="002445DA">
        <w:rPr>
          <w:rFonts w:asciiTheme="minorHAnsi" w:hAnsiTheme="minorHAnsi" w:cstheme="minorHAnsi"/>
          <w:sz w:val="18"/>
          <w:szCs w:val="18"/>
        </w:rPr>
        <w:t>Risikovurdering i f. til ”Forekomst af asbeststøv i væsentligt omfang</w:t>
      </w:r>
      <w:r w:rsidR="002445DA">
        <w:rPr>
          <w:rFonts w:asciiTheme="minorHAnsi" w:hAnsiTheme="minorHAnsi" w:cstheme="minorHAnsi"/>
          <w:sz w:val="18"/>
          <w:szCs w:val="18"/>
        </w:rPr>
        <w:t xml:space="preserve"> </w:t>
      </w:r>
      <w:r w:rsidR="002445DA" w:rsidRPr="002445DA">
        <w:rPr>
          <w:rFonts w:asciiTheme="minorHAnsi" w:hAnsiTheme="minorHAnsi" w:cstheme="minorHAnsi"/>
          <w:sz w:val="18"/>
          <w:szCs w:val="18"/>
        </w:rPr>
        <w:t>”</w:t>
      </w:r>
      <w:r w:rsidR="002445DA">
        <w:rPr>
          <w:rFonts w:asciiTheme="minorHAnsi" w:hAnsiTheme="minorHAnsi" w:cstheme="minorHAnsi"/>
          <w:sz w:val="18"/>
          <w:szCs w:val="18"/>
        </w:rPr>
        <w:t xml:space="preserve">. </w:t>
      </w:r>
      <w:r w:rsidRPr="00740DB5">
        <w:rPr>
          <w:rFonts w:asciiTheme="minorHAnsi" w:hAnsiTheme="minorHAnsi" w:cstheme="minorHAnsi"/>
          <w:sz w:val="18"/>
          <w:szCs w:val="18"/>
        </w:rPr>
        <w:t xml:space="preserve">Se AT´s hjemmeside om </w:t>
      </w:r>
      <w:hyperlink r:id="rId11" w:history="1">
        <w:r w:rsidRPr="00CB2A54">
          <w:rPr>
            <w:rStyle w:val="Hyperlink"/>
            <w:rFonts w:asciiTheme="minorHAnsi" w:hAnsiTheme="minorHAnsi" w:cstheme="minorHAnsi"/>
            <w:sz w:val="18"/>
            <w:szCs w:val="18"/>
          </w:rPr>
          <w:t>”Forekomst af asbeststøv i væsentligt omfang”</w:t>
        </w:r>
      </w:hyperlink>
      <w:r w:rsidRPr="00740DB5">
        <w:rPr>
          <w:rFonts w:asciiTheme="minorHAnsi" w:hAnsiTheme="minorHAnsi" w:cstheme="minorHAnsi"/>
          <w:sz w:val="18"/>
          <w:szCs w:val="18"/>
        </w:rPr>
        <w:t xml:space="preserve"> og herunder arbejde med nedrivning der kan udføres på en så støvsvag måde, at der </w:t>
      </w:r>
      <w:r w:rsidRPr="00740DB5">
        <w:rPr>
          <w:rFonts w:asciiTheme="minorHAnsi" w:hAnsiTheme="minorHAnsi" w:cstheme="minorHAnsi"/>
          <w:b/>
          <w:bCs/>
          <w:sz w:val="18"/>
          <w:szCs w:val="18"/>
        </w:rPr>
        <w:t xml:space="preserve">ikke </w:t>
      </w:r>
      <w:r w:rsidRPr="00740DB5">
        <w:rPr>
          <w:rFonts w:asciiTheme="minorHAnsi" w:hAnsiTheme="minorHAnsi" w:cstheme="minorHAnsi"/>
          <w:sz w:val="18"/>
          <w:szCs w:val="18"/>
        </w:rPr>
        <w:t>forekommer asbeststøv i væsentligt omfang</w:t>
      </w:r>
      <w:r w:rsidR="00EA4470">
        <w:rPr>
          <w:rFonts w:asciiTheme="minorHAnsi" w:hAnsiTheme="minorHAnsi" w:cstheme="minorHAnsi"/>
          <w:sz w:val="18"/>
          <w:szCs w:val="18"/>
        </w:rPr>
        <w:t>.</w:t>
      </w:r>
      <w:r w:rsidR="003A69C3">
        <w:rPr>
          <w:rFonts w:asciiTheme="minorHAnsi" w:hAnsiTheme="minorHAnsi" w:cstheme="minorHAnsi"/>
          <w:sz w:val="18"/>
          <w:szCs w:val="18"/>
        </w:rPr>
        <w:t xml:space="preserve"> Vær ved risikovurderingen opmærksom på at det af AT´s hjemmeside fremgår: ”</w:t>
      </w:r>
      <w:r w:rsidR="003A69C3" w:rsidRPr="003A69C3">
        <w:rPr>
          <w:rFonts w:asciiTheme="minorHAnsi" w:hAnsiTheme="minorHAnsi" w:cstheme="minorHAnsi"/>
          <w:sz w:val="18"/>
          <w:szCs w:val="18"/>
        </w:rPr>
        <w:t>Selvom der ikke forekommer asbeststøv i væsentligt omfang, er det ofte nødvendigt at afskærme arbejdsområdet for at beskytte personer i omgivelserne mod udsættelse for asbeststøv. Afskærmningen skal i så fald ikke nødvendigvis være ved hjælp af et støvtæt telt med sluse og undertryk</w:t>
      </w:r>
      <w:r w:rsidR="003A69C3">
        <w:rPr>
          <w:rFonts w:asciiTheme="minorHAnsi" w:hAnsiTheme="minorHAnsi" w:cstheme="minorHAnsi"/>
          <w:sz w:val="18"/>
          <w:szCs w:val="18"/>
        </w:rPr>
        <w:t>”</w:t>
      </w:r>
    </w:p>
    <w:sectPr w:rsidR="00740DB5" w:rsidRPr="00740DB5" w:rsidSect="008E7683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E71A1" w14:textId="77777777" w:rsidR="00202747" w:rsidRDefault="00202747" w:rsidP="006312DE">
      <w:pPr>
        <w:spacing w:after="0" w:line="240" w:lineRule="auto"/>
      </w:pPr>
      <w:r>
        <w:separator/>
      </w:r>
    </w:p>
  </w:endnote>
  <w:endnote w:type="continuationSeparator" w:id="0">
    <w:p w14:paraId="6245B50E" w14:textId="77777777" w:rsidR="00202747" w:rsidRDefault="00202747" w:rsidP="006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586330"/>
      <w:docPartObj>
        <w:docPartGallery w:val="Page Numbers (Bottom of Page)"/>
        <w:docPartUnique/>
      </w:docPartObj>
    </w:sdtPr>
    <w:sdtContent>
      <w:p w14:paraId="3FC4D1FB" w14:textId="77777777" w:rsidR="009A387C" w:rsidRPr="00465727" w:rsidRDefault="009A387C" w:rsidP="009A387C">
        <w:pPr>
          <w:pStyle w:val="Sidefod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  <w:lang w:val="en-US"/>
          </w:rPr>
        </w:pPr>
        <w:r w:rsidRPr="00465727">
          <w:rPr>
            <w:sz w:val="16"/>
            <w:szCs w:val="16"/>
            <w:lang w:val="en-US"/>
          </w:rPr>
          <w:t>5A ApS</w:t>
        </w:r>
        <w:r>
          <w:rPr>
            <w:sz w:val="16"/>
            <w:szCs w:val="16"/>
            <w:lang w:val="en-US"/>
          </w:rPr>
          <w:t xml:space="preserve">  </w:t>
        </w:r>
        <w:r w:rsidRPr="00465727">
          <w:rPr>
            <w:sz w:val="16"/>
            <w:szCs w:val="16"/>
            <w:lang w:val="en-US"/>
          </w:rPr>
          <w:t xml:space="preserve"> · </w:t>
        </w:r>
        <w:r w:rsidRPr="00465727">
          <w:rPr>
            <w:rFonts w:cstheme="minorHAnsi"/>
            <w:sz w:val="16"/>
            <w:szCs w:val="16"/>
            <w:lang w:val="en-US"/>
          </w:rPr>
          <w:t xml:space="preserve"> </w:t>
        </w:r>
        <w:r>
          <w:rPr>
            <w:rFonts w:cstheme="minorHAnsi"/>
            <w:sz w:val="16"/>
            <w:szCs w:val="16"/>
            <w:lang w:val="en-US"/>
          </w:rPr>
          <w:t xml:space="preserve"> Åtoften 159B</w:t>
        </w:r>
        <w:r w:rsidRPr="00465727">
          <w:rPr>
            <w:sz w:val="16"/>
            <w:szCs w:val="16"/>
            <w:lang w:val="en-US"/>
          </w:rPr>
          <w:t xml:space="preserve">   ·</w:t>
        </w:r>
        <w:r w:rsidRPr="00465727">
          <w:rPr>
            <w:rFonts w:cstheme="minorHAnsi"/>
            <w:sz w:val="16"/>
            <w:szCs w:val="16"/>
            <w:lang w:val="en-US"/>
          </w:rPr>
          <w:t xml:space="preserve">  </w:t>
        </w:r>
        <w:r>
          <w:rPr>
            <w:rFonts w:cstheme="minorHAnsi"/>
            <w:sz w:val="16"/>
            <w:szCs w:val="16"/>
            <w:lang w:val="en-US"/>
          </w:rPr>
          <w:t xml:space="preserve"> </w:t>
        </w:r>
        <w:r w:rsidRPr="00465727">
          <w:rPr>
            <w:sz w:val="16"/>
            <w:szCs w:val="16"/>
            <w:lang w:val="en-US"/>
          </w:rPr>
          <w:t>29</w:t>
        </w:r>
        <w:r>
          <w:rPr>
            <w:sz w:val="16"/>
            <w:szCs w:val="16"/>
            <w:lang w:val="en-US"/>
          </w:rPr>
          <w:t>90</w:t>
        </w:r>
        <w:r w:rsidRPr="00465727">
          <w:rPr>
            <w:sz w:val="16"/>
            <w:szCs w:val="16"/>
            <w:lang w:val="en-US"/>
          </w:rPr>
          <w:t xml:space="preserve"> </w:t>
        </w:r>
        <w:r>
          <w:rPr>
            <w:sz w:val="16"/>
            <w:szCs w:val="16"/>
            <w:lang w:val="en-US"/>
          </w:rPr>
          <w:t>Nivå</w:t>
        </w:r>
        <w:r w:rsidRPr="00465727">
          <w:rPr>
            <w:sz w:val="16"/>
            <w:szCs w:val="16"/>
            <w:lang w:val="en-US"/>
          </w:rPr>
          <w:t xml:space="preserve">   ·</w:t>
        </w:r>
        <w:r w:rsidRPr="00465727">
          <w:rPr>
            <w:rFonts w:cstheme="minorHAnsi"/>
            <w:sz w:val="16"/>
            <w:szCs w:val="16"/>
            <w:lang w:val="en-US"/>
          </w:rPr>
          <w:t xml:space="preserve">   </w:t>
        </w:r>
        <w:r w:rsidRPr="00465727">
          <w:rPr>
            <w:sz w:val="16"/>
            <w:szCs w:val="16"/>
            <w:lang w:val="en-US"/>
          </w:rPr>
          <w:t xml:space="preserve"> tlf. 4</w:t>
        </w:r>
        <w:r>
          <w:rPr>
            <w:sz w:val="16"/>
            <w:szCs w:val="16"/>
            <w:lang w:val="en-US"/>
          </w:rPr>
          <w:t>079</w:t>
        </w:r>
        <w:r w:rsidRPr="00465727">
          <w:rPr>
            <w:sz w:val="16"/>
            <w:szCs w:val="16"/>
            <w:lang w:val="en-US"/>
          </w:rPr>
          <w:t xml:space="preserve"> 4404   · </w:t>
        </w:r>
        <w:r w:rsidRPr="00465727">
          <w:rPr>
            <w:rFonts w:cstheme="minorHAnsi"/>
            <w:sz w:val="16"/>
            <w:szCs w:val="16"/>
            <w:lang w:val="en-US"/>
          </w:rPr>
          <w:t xml:space="preserve"> </w:t>
        </w:r>
        <w:r w:rsidRPr="00465727">
          <w:rPr>
            <w:sz w:val="16"/>
            <w:szCs w:val="16"/>
            <w:lang w:val="en-US"/>
          </w:rPr>
          <w:t xml:space="preserve"> </w:t>
        </w:r>
        <w:hyperlink r:id="rId1" w:history="1">
          <w:r w:rsidRPr="00465727">
            <w:rPr>
              <w:sz w:val="16"/>
              <w:szCs w:val="16"/>
              <w:lang w:val="en-US"/>
            </w:rPr>
            <w:t>www.aaaaa.dk</w:t>
          </w:r>
        </w:hyperlink>
        <w:r w:rsidRPr="00465727">
          <w:rPr>
            <w:sz w:val="16"/>
            <w:szCs w:val="16"/>
            <w:lang w:val="en-US"/>
          </w:rPr>
          <w:t xml:space="preserve">   ·   e-mail: </w:t>
        </w:r>
        <w:hyperlink r:id="rId2" w:history="1">
          <w:r w:rsidRPr="00465727">
            <w:rPr>
              <w:rStyle w:val="Hyperlink"/>
              <w:sz w:val="16"/>
              <w:szCs w:val="16"/>
              <w:lang w:val="en-US"/>
            </w:rPr>
            <w:t>spj@aaaaa.dk</w:t>
          </w:r>
        </w:hyperlink>
        <w:r w:rsidRPr="00465727">
          <w:rPr>
            <w:sz w:val="16"/>
            <w:szCs w:val="16"/>
            <w:lang w:val="en-US"/>
          </w:rPr>
          <w:t xml:space="preserve">  ·</w:t>
        </w:r>
        <w:r w:rsidRPr="00465727">
          <w:rPr>
            <w:rFonts w:cstheme="minorHAnsi"/>
            <w:sz w:val="16"/>
            <w:szCs w:val="16"/>
            <w:lang w:val="en-US"/>
          </w:rPr>
          <w:t xml:space="preserve"> </w:t>
        </w:r>
        <w:r w:rsidRPr="00465727">
          <w:rPr>
            <w:sz w:val="16"/>
            <w:szCs w:val="16"/>
            <w:lang w:val="en-US"/>
          </w:rPr>
          <w:t xml:space="preserve"> CVR: 33883919</w:t>
        </w:r>
        <w:r w:rsidRPr="00465727">
          <w:rPr>
            <w:rFonts w:asciiTheme="majorHAnsi" w:eastAsiaTheme="majorEastAsia" w:hAnsiTheme="majorHAnsi" w:cstheme="majorBidi"/>
            <w:sz w:val="16"/>
            <w:szCs w:val="16"/>
          </w:rPr>
          <w:ptab w:relativeTo="margin" w:alignment="right" w:leader="none"/>
        </w:r>
        <w:r w:rsidRPr="00B21AD1">
          <w:rPr>
            <w:rFonts w:asciiTheme="majorHAnsi" w:eastAsiaTheme="majorEastAsia" w:hAnsiTheme="majorHAnsi" w:cstheme="majorBidi"/>
            <w:sz w:val="16"/>
            <w:szCs w:val="16"/>
            <w:lang w:val="en-US"/>
          </w:rPr>
          <w:t xml:space="preserve">Side </w:t>
        </w:r>
        <w:r w:rsidRPr="00B21AD1">
          <w:rPr>
            <w:rFonts w:eastAsiaTheme="minorEastAsia"/>
            <w:sz w:val="16"/>
            <w:szCs w:val="16"/>
          </w:rPr>
          <w:fldChar w:fldCharType="begin"/>
        </w:r>
        <w:r w:rsidRPr="00B21AD1">
          <w:rPr>
            <w:sz w:val="16"/>
            <w:szCs w:val="16"/>
            <w:lang w:val="en-US"/>
          </w:rPr>
          <w:instrText>PAGE   \* MERGEFORMAT</w:instrText>
        </w:r>
        <w:r w:rsidRPr="00B21AD1">
          <w:rPr>
            <w:rFonts w:eastAsiaTheme="minorEastAsia"/>
            <w:sz w:val="16"/>
            <w:szCs w:val="16"/>
          </w:rPr>
          <w:fldChar w:fldCharType="separate"/>
        </w:r>
        <w:r w:rsidRPr="009A387C">
          <w:rPr>
            <w:sz w:val="16"/>
            <w:szCs w:val="16"/>
            <w:lang w:val="en-US"/>
          </w:rPr>
          <w:t>1</w:t>
        </w:r>
        <w:r w:rsidRPr="00B21AD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  <w:p w14:paraId="1FBEACDE" w14:textId="7DFF2A02" w:rsidR="00E322EB" w:rsidRDefault="00000000">
        <w:pPr>
          <w:pStyle w:val="Sidefod"/>
          <w:jc w:val="right"/>
        </w:pPr>
      </w:p>
    </w:sdtContent>
  </w:sdt>
  <w:p w14:paraId="39573D05" w14:textId="77777777" w:rsidR="006312DE" w:rsidRDefault="006312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D0F8" w14:textId="77777777" w:rsidR="00202747" w:rsidRDefault="00202747" w:rsidP="006312DE">
      <w:pPr>
        <w:spacing w:after="0" w:line="240" w:lineRule="auto"/>
      </w:pPr>
      <w:r>
        <w:separator/>
      </w:r>
    </w:p>
  </w:footnote>
  <w:footnote w:type="continuationSeparator" w:id="0">
    <w:p w14:paraId="10FB726D" w14:textId="77777777" w:rsidR="00202747" w:rsidRDefault="00202747" w:rsidP="0063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BCAD" w14:textId="66123104" w:rsidR="006312DE" w:rsidRDefault="00000000">
    <w:pPr>
      <w:pStyle w:val="Sidehoved"/>
    </w:pPr>
    <w:r>
      <w:rPr>
        <w:noProof/>
      </w:rPr>
      <w:pict w14:anchorId="4258D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97547" o:spid="_x0000_s1029" type="#_x0000_t136" style="position:absolute;margin-left:0;margin-top:0;width:590.85pt;height:8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-AUTORISERET FO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174B" w14:textId="2E5F95CF" w:rsidR="00A013F8" w:rsidRDefault="00000000" w:rsidP="00C17A8B">
    <w:pPr>
      <w:pStyle w:val="Sidehoved"/>
      <w:jc w:val="both"/>
    </w:pPr>
    <w:r>
      <w:rPr>
        <w:b/>
        <w:bCs/>
        <w:noProof/>
      </w:rPr>
      <w:pict w14:anchorId="3D25C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97548" o:spid="_x0000_s1030" type="#_x0000_t136" style="position:absolute;left:0;text-align:left;margin-left:0;margin-top:0;width:590.85pt;height:8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-AUTORISERET FORSLAG"/>
          <w10:wrap anchorx="margin" anchory="margin"/>
        </v:shape>
      </w:pict>
    </w:r>
    <w:bookmarkStart w:id="1" w:name="_Hlk187145704"/>
    <w:r w:rsidR="003F4B6A">
      <w:rPr>
        <w:b/>
        <w:bCs/>
      </w:rPr>
      <w:t>Kortfattet o</w:t>
    </w:r>
    <w:r w:rsidR="00A013F8">
      <w:rPr>
        <w:b/>
        <w:bCs/>
      </w:rPr>
      <w:t xml:space="preserve">versigt over </w:t>
    </w:r>
    <w:r w:rsidR="003F4B6A">
      <w:rPr>
        <w:b/>
        <w:bCs/>
      </w:rPr>
      <w:t xml:space="preserve">krav </w:t>
    </w:r>
    <w:r w:rsidR="00A013F8">
      <w:rPr>
        <w:b/>
        <w:bCs/>
      </w:rPr>
      <w:t>i Asbestbekendtgørelsen</w:t>
    </w:r>
    <w:r w:rsidR="003F4B6A">
      <w:rPr>
        <w:b/>
        <w:bCs/>
      </w:rPr>
      <w:t xml:space="preserve"> til visse typer asbestarbejde</w:t>
    </w:r>
    <w:bookmarkEnd w:id="1"/>
    <w:r w:rsidR="00562302">
      <w:tab/>
    </w:r>
    <w:r w:rsidR="00C17A8B">
      <w:t xml:space="preserve">            </w:t>
    </w:r>
  </w:p>
  <w:p w14:paraId="22964DA9" w14:textId="2F770A11" w:rsidR="006312DE" w:rsidRDefault="00850AE6" w:rsidP="00C17A8B">
    <w:pPr>
      <w:pStyle w:val="Sidehoved"/>
      <w:jc w:val="both"/>
    </w:pPr>
    <w:r w:rsidRPr="00562302">
      <w:rPr>
        <w:b/>
        <w:bCs/>
      </w:rPr>
      <w:t>20</w:t>
    </w:r>
    <w:r w:rsidR="00476BCC">
      <w:rPr>
        <w:b/>
        <w:bCs/>
      </w:rPr>
      <w:t>25010</w:t>
    </w:r>
    <w:r w:rsidR="00482114">
      <w:rPr>
        <w:b/>
        <w:bCs/>
      </w:rPr>
      <w:t>5</w:t>
    </w:r>
    <w:r w:rsidRPr="00562302">
      <w:rPr>
        <w:b/>
        <w:bCs/>
      </w:rPr>
      <w:t xml:space="preserve"> Sonja Ploug Jensen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ECCE" w14:textId="2017472F" w:rsidR="006312DE" w:rsidRDefault="00000000">
    <w:pPr>
      <w:pStyle w:val="Sidehoved"/>
    </w:pPr>
    <w:r>
      <w:rPr>
        <w:noProof/>
      </w:rPr>
      <w:pict w14:anchorId="0A19EF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97546" o:spid="_x0000_s1028" type="#_x0000_t136" style="position:absolute;margin-left:0;margin-top:0;width:590.85pt;height:8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-AUTORISERET FORSL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B50"/>
    <w:multiLevelType w:val="hybridMultilevel"/>
    <w:tmpl w:val="EA601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F37"/>
    <w:multiLevelType w:val="multilevel"/>
    <w:tmpl w:val="AB4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BE6"/>
    <w:multiLevelType w:val="multilevel"/>
    <w:tmpl w:val="93D8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9113E"/>
    <w:multiLevelType w:val="multilevel"/>
    <w:tmpl w:val="50B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329DC"/>
    <w:multiLevelType w:val="multilevel"/>
    <w:tmpl w:val="4A2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0B9A"/>
    <w:multiLevelType w:val="hybridMultilevel"/>
    <w:tmpl w:val="1BCCD0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7969"/>
    <w:multiLevelType w:val="multilevel"/>
    <w:tmpl w:val="1D0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F9E"/>
    <w:multiLevelType w:val="multilevel"/>
    <w:tmpl w:val="DB60B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5A46803"/>
    <w:multiLevelType w:val="multilevel"/>
    <w:tmpl w:val="2FE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02DBB"/>
    <w:multiLevelType w:val="multilevel"/>
    <w:tmpl w:val="238C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13D09"/>
    <w:multiLevelType w:val="multilevel"/>
    <w:tmpl w:val="8BFC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105BC"/>
    <w:multiLevelType w:val="multilevel"/>
    <w:tmpl w:val="55E8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147CB"/>
    <w:multiLevelType w:val="multilevel"/>
    <w:tmpl w:val="DE44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56791"/>
    <w:multiLevelType w:val="multilevel"/>
    <w:tmpl w:val="C1E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A28C6"/>
    <w:multiLevelType w:val="multilevel"/>
    <w:tmpl w:val="DFB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918FF"/>
    <w:multiLevelType w:val="multilevel"/>
    <w:tmpl w:val="2ED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E639F"/>
    <w:multiLevelType w:val="multilevel"/>
    <w:tmpl w:val="BDE0C4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3E017B44"/>
    <w:multiLevelType w:val="multilevel"/>
    <w:tmpl w:val="6F8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73AB5"/>
    <w:multiLevelType w:val="multilevel"/>
    <w:tmpl w:val="E9D0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C7196"/>
    <w:multiLevelType w:val="multilevel"/>
    <w:tmpl w:val="B9A8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54948"/>
    <w:multiLevelType w:val="multilevel"/>
    <w:tmpl w:val="36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64638"/>
    <w:multiLevelType w:val="multilevel"/>
    <w:tmpl w:val="39F0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B95A8D"/>
    <w:multiLevelType w:val="multilevel"/>
    <w:tmpl w:val="558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278D6"/>
    <w:multiLevelType w:val="multilevel"/>
    <w:tmpl w:val="0F0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84BD9"/>
    <w:multiLevelType w:val="multilevel"/>
    <w:tmpl w:val="13A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33225"/>
    <w:multiLevelType w:val="hybridMultilevel"/>
    <w:tmpl w:val="678491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A50EE4"/>
    <w:multiLevelType w:val="multilevel"/>
    <w:tmpl w:val="F01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54FEA"/>
    <w:multiLevelType w:val="hybridMultilevel"/>
    <w:tmpl w:val="14488D5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B2163F"/>
    <w:multiLevelType w:val="hybridMultilevel"/>
    <w:tmpl w:val="2DF8D7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D25DFF"/>
    <w:multiLevelType w:val="hybridMultilevel"/>
    <w:tmpl w:val="FED6D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42309"/>
    <w:multiLevelType w:val="hybridMultilevel"/>
    <w:tmpl w:val="A20C52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75271"/>
    <w:multiLevelType w:val="multilevel"/>
    <w:tmpl w:val="0A44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032517">
    <w:abstractNumId w:val="7"/>
  </w:num>
  <w:num w:numId="2" w16cid:durableId="988827342">
    <w:abstractNumId w:val="9"/>
  </w:num>
  <w:num w:numId="3" w16cid:durableId="506024091">
    <w:abstractNumId w:val="16"/>
  </w:num>
  <w:num w:numId="4" w16cid:durableId="1407528604">
    <w:abstractNumId w:val="17"/>
  </w:num>
  <w:num w:numId="5" w16cid:durableId="1478957627">
    <w:abstractNumId w:val="21"/>
  </w:num>
  <w:num w:numId="6" w16cid:durableId="1157914307">
    <w:abstractNumId w:val="2"/>
  </w:num>
  <w:num w:numId="7" w16cid:durableId="961115070">
    <w:abstractNumId w:val="0"/>
  </w:num>
  <w:num w:numId="8" w16cid:durableId="65884828">
    <w:abstractNumId w:val="12"/>
  </w:num>
  <w:num w:numId="9" w16cid:durableId="1078482745">
    <w:abstractNumId w:val="29"/>
  </w:num>
  <w:num w:numId="10" w16cid:durableId="1625696896">
    <w:abstractNumId w:val="23"/>
  </w:num>
  <w:num w:numId="11" w16cid:durableId="1277249610">
    <w:abstractNumId w:val="31"/>
  </w:num>
  <w:num w:numId="12" w16cid:durableId="2147316007">
    <w:abstractNumId w:val="10"/>
  </w:num>
  <w:num w:numId="13" w16cid:durableId="1353219256">
    <w:abstractNumId w:val="30"/>
  </w:num>
  <w:num w:numId="14" w16cid:durableId="936325702">
    <w:abstractNumId w:val="11"/>
  </w:num>
  <w:num w:numId="15" w16cid:durableId="704602739">
    <w:abstractNumId w:val="18"/>
  </w:num>
  <w:num w:numId="16" w16cid:durableId="818958066">
    <w:abstractNumId w:val="27"/>
  </w:num>
  <w:num w:numId="17" w16cid:durableId="1091703902">
    <w:abstractNumId w:val="4"/>
  </w:num>
  <w:num w:numId="18" w16cid:durableId="1892619779">
    <w:abstractNumId w:val="24"/>
  </w:num>
  <w:num w:numId="19" w16cid:durableId="174614005">
    <w:abstractNumId w:val="26"/>
  </w:num>
  <w:num w:numId="20" w16cid:durableId="367611647">
    <w:abstractNumId w:val="6"/>
  </w:num>
  <w:num w:numId="21" w16cid:durableId="1568228655">
    <w:abstractNumId w:val="22"/>
  </w:num>
  <w:num w:numId="22" w16cid:durableId="1782189637">
    <w:abstractNumId w:val="20"/>
  </w:num>
  <w:num w:numId="23" w16cid:durableId="1359893540">
    <w:abstractNumId w:val="3"/>
  </w:num>
  <w:num w:numId="24" w16cid:durableId="226499958">
    <w:abstractNumId w:val="13"/>
  </w:num>
  <w:num w:numId="25" w16cid:durableId="1548370517">
    <w:abstractNumId w:val="8"/>
  </w:num>
  <w:num w:numId="26" w16cid:durableId="739986438">
    <w:abstractNumId w:val="19"/>
  </w:num>
  <w:num w:numId="27" w16cid:durableId="695037268">
    <w:abstractNumId w:val="28"/>
  </w:num>
  <w:num w:numId="28" w16cid:durableId="1125272207">
    <w:abstractNumId w:val="5"/>
  </w:num>
  <w:num w:numId="29" w16cid:durableId="1754007340">
    <w:abstractNumId w:val="25"/>
  </w:num>
  <w:num w:numId="30" w16cid:durableId="169375926">
    <w:abstractNumId w:val="1"/>
  </w:num>
  <w:num w:numId="31" w16cid:durableId="1880506036">
    <w:abstractNumId w:val="15"/>
  </w:num>
  <w:num w:numId="32" w16cid:durableId="1960334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E9"/>
    <w:rsid w:val="00002E52"/>
    <w:rsid w:val="00007BAA"/>
    <w:rsid w:val="00021611"/>
    <w:rsid w:val="0002354D"/>
    <w:rsid w:val="000270B3"/>
    <w:rsid w:val="00034A33"/>
    <w:rsid w:val="00037071"/>
    <w:rsid w:val="0004483D"/>
    <w:rsid w:val="00045BA8"/>
    <w:rsid w:val="0005093A"/>
    <w:rsid w:val="00063B1A"/>
    <w:rsid w:val="00067E5E"/>
    <w:rsid w:val="00073450"/>
    <w:rsid w:val="00074901"/>
    <w:rsid w:val="00084E7E"/>
    <w:rsid w:val="00085A90"/>
    <w:rsid w:val="00087371"/>
    <w:rsid w:val="000A0F5A"/>
    <w:rsid w:val="000A1A94"/>
    <w:rsid w:val="000B536E"/>
    <w:rsid w:val="000B60D1"/>
    <w:rsid w:val="000C2F23"/>
    <w:rsid w:val="000C3881"/>
    <w:rsid w:val="000C3A16"/>
    <w:rsid w:val="000C4EF1"/>
    <w:rsid w:val="000C6999"/>
    <w:rsid w:val="000D02A4"/>
    <w:rsid w:val="000D7CF3"/>
    <w:rsid w:val="000E11AC"/>
    <w:rsid w:val="000E3F24"/>
    <w:rsid w:val="00100EDF"/>
    <w:rsid w:val="00101083"/>
    <w:rsid w:val="00103FAC"/>
    <w:rsid w:val="00104731"/>
    <w:rsid w:val="001064EB"/>
    <w:rsid w:val="00114152"/>
    <w:rsid w:val="00136C22"/>
    <w:rsid w:val="00146556"/>
    <w:rsid w:val="00146DFA"/>
    <w:rsid w:val="00160CC7"/>
    <w:rsid w:val="00165C39"/>
    <w:rsid w:val="001703E7"/>
    <w:rsid w:val="00172AAA"/>
    <w:rsid w:val="0017741D"/>
    <w:rsid w:val="00177986"/>
    <w:rsid w:val="001845C0"/>
    <w:rsid w:val="001907DB"/>
    <w:rsid w:val="00192ECE"/>
    <w:rsid w:val="00196BF0"/>
    <w:rsid w:val="001A0650"/>
    <w:rsid w:val="001A3394"/>
    <w:rsid w:val="001A394B"/>
    <w:rsid w:val="001A44EE"/>
    <w:rsid w:val="001A56A7"/>
    <w:rsid w:val="001B13FD"/>
    <w:rsid w:val="001B4697"/>
    <w:rsid w:val="001C0436"/>
    <w:rsid w:val="001C416D"/>
    <w:rsid w:val="001C5275"/>
    <w:rsid w:val="001C56EB"/>
    <w:rsid w:val="001D0459"/>
    <w:rsid w:val="001D055F"/>
    <w:rsid w:val="001E1086"/>
    <w:rsid w:val="001E4A89"/>
    <w:rsid w:val="001E67D7"/>
    <w:rsid w:val="001F22E4"/>
    <w:rsid w:val="00202747"/>
    <w:rsid w:val="00203020"/>
    <w:rsid w:val="00207274"/>
    <w:rsid w:val="00212FEA"/>
    <w:rsid w:val="00221213"/>
    <w:rsid w:val="00222216"/>
    <w:rsid w:val="002445DA"/>
    <w:rsid w:val="002504ED"/>
    <w:rsid w:val="00252264"/>
    <w:rsid w:val="002523B6"/>
    <w:rsid w:val="00254889"/>
    <w:rsid w:val="0026176D"/>
    <w:rsid w:val="002628D1"/>
    <w:rsid w:val="00263AE6"/>
    <w:rsid w:val="00267758"/>
    <w:rsid w:val="00270496"/>
    <w:rsid w:val="002706EB"/>
    <w:rsid w:val="002721EB"/>
    <w:rsid w:val="00274523"/>
    <w:rsid w:val="00274B1C"/>
    <w:rsid w:val="002751C2"/>
    <w:rsid w:val="002810C4"/>
    <w:rsid w:val="0029622D"/>
    <w:rsid w:val="00297E47"/>
    <w:rsid w:val="00297FF3"/>
    <w:rsid w:val="002A1710"/>
    <w:rsid w:val="002A652D"/>
    <w:rsid w:val="002B0C61"/>
    <w:rsid w:val="002B1058"/>
    <w:rsid w:val="002B5E72"/>
    <w:rsid w:val="002B7832"/>
    <w:rsid w:val="002C10FC"/>
    <w:rsid w:val="002C73F1"/>
    <w:rsid w:val="002C7991"/>
    <w:rsid w:val="002D0F17"/>
    <w:rsid w:val="002D341A"/>
    <w:rsid w:val="002D4DAC"/>
    <w:rsid w:val="002E3B68"/>
    <w:rsid w:val="002E486E"/>
    <w:rsid w:val="002E4C44"/>
    <w:rsid w:val="002E6AC0"/>
    <w:rsid w:val="002E7CDC"/>
    <w:rsid w:val="002F06DA"/>
    <w:rsid w:val="002F1FB3"/>
    <w:rsid w:val="002F5762"/>
    <w:rsid w:val="00300F19"/>
    <w:rsid w:val="00303956"/>
    <w:rsid w:val="00306BAF"/>
    <w:rsid w:val="00314AF2"/>
    <w:rsid w:val="00321B7D"/>
    <w:rsid w:val="00322398"/>
    <w:rsid w:val="003306A8"/>
    <w:rsid w:val="00334C00"/>
    <w:rsid w:val="00335B09"/>
    <w:rsid w:val="003514B4"/>
    <w:rsid w:val="003560E8"/>
    <w:rsid w:val="00364528"/>
    <w:rsid w:val="003652CC"/>
    <w:rsid w:val="003666AC"/>
    <w:rsid w:val="00372AC4"/>
    <w:rsid w:val="003879AE"/>
    <w:rsid w:val="003946B1"/>
    <w:rsid w:val="003A053D"/>
    <w:rsid w:val="003A0D79"/>
    <w:rsid w:val="003A23D7"/>
    <w:rsid w:val="003A2F74"/>
    <w:rsid w:val="003A69C3"/>
    <w:rsid w:val="003B553C"/>
    <w:rsid w:val="003B63F4"/>
    <w:rsid w:val="003B7250"/>
    <w:rsid w:val="003C4367"/>
    <w:rsid w:val="003D6D49"/>
    <w:rsid w:val="003E09AD"/>
    <w:rsid w:val="003E732A"/>
    <w:rsid w:val="003F2DB7"/>
    <w:rsid w:val="003F4B6A"/>
    <w:rsid w:val="003F7337"/>
    <w:rsid w:val="00406E14"/>
    <w:rsid w:val="00413857"/>
    <w:rsid w:val="00414775"/>
    <w:rsid w:val="004175DA"/>
    <w:rsid w:val="00420311"/>
    <w:rsid w:val="0042079E"/>
    <w:rsid w:val="004240DE"/>
    <w:rsid w:val="00425762"/>
    <w:rsid w:val="00427C43"/>
    <w:rsid w:val="00430E32"/>
    <w:rsid w:val="00433589"/>
    <w:rsid w:val="00444A3B"/>
    <w:rsid w:val="00452154"/>
    <w:rsid w:val="004540D7"/>
    <w:rsid w:val="004543BD"/>
    <w:rsid w:val="00454CB6"/>
    <w:rsid w:val="004562EC"/>
    <w:rsid w:val="0046397B"/>
    <w:rsid w:val="00464CCA"/>
    <w:rsid w:val="00467C37"/>
    <w:rsid w:val="00470D23"/>
    <w:rsid w:val="00471A0F"/>
    <w:rsid w:val="00476BCC"/>
    <w:rsid w:val="00480A78"/>
    <w:rsid w:val="004811DD"/>
    <w:rsid w:val="00482114"/>
    <w:rsid w:val="00483744"/>
    <w:rsid w:val="00483A7C"/>
    <w:rsid w:val="00484035"/>
    <w:rsid w:val="0048620B"/>
    <w:rsid w:val="00487444"/>
    <w:rsid w:val="0049054E"/>
    <w:rsid w:val="004912F2"/>
    <w:rsid w:val="00493852"/>
    <w:rsid w:val="00496842"/>
    <w:rsid w:val="004A37D0"/>
    <w:rsid w:val="004A4183"/>
    <w:rsid w:val="004A4195"/>
    <w:rsid w:val="004A446B"/>
    <w:rsid w:val="004A7B3D"/>
    <w:rsid w:val="004B004D"/>
    <w:rsid w:val="004B075B"/>
    <w:rsid w:val="004B2CD8"/>
    <w:rsid w:val="004B3BF1"/>
    <w:rsid w:val="004B40E9"/>
    <w:rsid w:val="004B5826"/>
    <w:rsid w:val="004D0011"/>
    <w:rsid w:val="004D0748"/>
    <w:rsid w:val="004D2350"/>
    <w:rsid w:val="004D70AC"/>
    <w:rsid w:val="004E6AEA"/>
    <w:rsid w:val="004E713B"/>
    <w:rsid w:val="004F66DC"/>
    <w:rsid w:val="00500B4C"/>
    <w:rsid w:val="00500EBC"/>
    <w:rsid w:val="005059F7"/>
    <w:rsid w:val="005064C4"/>
    <w:rsid w:val="00506AF3"/>
    <w:rsid w:val="0051011F"/>
    <w:rsid w:val="00515D26"/>
    <w:rsid w:val="005170F8"/>
    <w:rsid w:val="005227A9"/>
    <w:rsid w:val="0052570C"/>
    <w:rsid w:val="00526F52"/>
    <w:rsid w:val="00535373"/>
    <w:rsid w:val="005405BB"/>
    <w:rsid w:val="005407AC"/>
    <w:rsid w:val="00540DC8"/>
    <w:rsid w:val="00542BE9"/>
    <w:rsid w:val="00542CCB"/>
    <w:rsid w:val="00545358"/>
    <w:rsid w:val="0055026C"/>
    <w:rsid w:val="00551943"/>
    <w:rsid w:val="005600AA"/>
    <w:rsid w:val="00562302"/>
    <w:rsid w:val="00563364"/>
    <w:rsid w:val="005669FC"/>
    <w:rsid w:val="00567D99"/>
    <w:rsid w:val="00591117"/>
    <w:rsid w:val="00594AB6"/>
    <w:rsid w:val="0059790E"/>
    <w:rsid w:val="005A0F9A"/>
    <w:rsid w:val="005A39E6"/>
    <w:rsid w:val="005B1A8A"/>
    <w:rsid w:val="005B2D96"/>
    <w:rsid w:val="005B4F2E"/>
    <w:rsid w:val="005C0E27"/>
    <w:rsid w:val="005C1285"/>
    <w:rsid w:val="005C324D"/>
    <w:rsid w:val="005C72C6"/>
    <w:rsid w:val="005D2217"/>
    <w:rsid w:val="005E37CF"/>
    <w:rsid w:val="005E60FB"/>
    <w:rsid w:val="005E774D"/>
    <w:rsid w:val="005F1BB1"/>
    <w:rsid w:val="005F2A6D"/>
    <w:rsid w:val="00601864"/>
    <w:rsid w:val="0061300D"/>
    <w:rsid w:val="00624C98"/>
    <w:rsid w:val="00630726"/>
    <w:rsid w:val="006312DE"/>
    <w:rsid w:val="0064165E"/>
    <w:rsid w:val="00641A6A"/>
    <w:rsid w:val="00645AD5"/>
    <w:rsid w:val="006463D8"/>
    <w:rsid w:val="0065624B"/>
    <w:rsid w:val="00656A48"/>
    <w:rsid w:val="00657E4F"/>
    <w:rsid w:val="00664503"/>
    <w:rsid w:val="0066629F"/>
    <w:rsid w:val="00666709"/>
    <w:rsid w:val="00671489"/>
    <w:rsid w:val="00671658"/>
    <w:rsid w:val="00676C2C"/>
    <w:rsid w:val="00677607"/>
    <w:rsid w:val="00677E9C"/>
    <w:rsid w:val="006845D3"/>
    <w:rsid w:val="00685444"/>
    <w:rsid w:val="00690BC0"/>
    <w:rsid w:val="0069264E"/>
    <w:rsid w:val="0069745D"/>
    <w:rsid w:val="006A0A1D"/>
    <w:rsid w:val="006A0C22"/>
    <w:rsid w:val="006A1488"/>
    <w:rsid w:val="006A4005"/>
    <w:rsid w:val="006B0493"/>
    <w:rsid w:val="006C35EF"/>
    <w:rsid w:val="006C368A"/>
    <w:rsid w:val="006D188E"/>
    <w:rsid w:val="006E1867"/>
    <w:rsid w:val="006E39CA"/>
    <w:rsid w:val="006F1761"/>
    <w:rsid w:val="006F5649"/>
    <w:rsid w:val="006F5E0E"/>
    <w:rsid w:val="00706FBB"/>
    <w:rsid w:val="00707613"/>
    <w:rsid w:val="00711486"/>
    <w:rsid w:val="007114B6"/>
    <w:rsid w:val="007119DC"/>
    <w:rsid w:val="00714901"/>
    <w:rsid w:val="007261C1"/>
    <w:rsid w:val="00727FA0"/>
    <w:rsid w:val="00733781"/>
    <w:rsid w:val="00733805"/>
    <w:rsid w:val="0073770E"/>
    <w:rsid w:val="007402FA"/>
    <w:rsid w:val="007403ED"/>
    <w:rsid w:val="00740DB5"/>
    <w:rsid w:val="007440C2"/>
    <w:rsid w:val="007471D1"/>
    <w:rsid w:val="00747973"/>
    <w:rsid w:val="00753AE7"/>
    <w:rsid w:val="0075603E"/>
    <w:rsid w:val="00762CFD"/>
    <w:rsid w:val="00765ABC"/>
    <w:rsid w:val="00766987"/>
    <w:rsid w:val="00774551"/>
    <w:rsid w:val="00780C76"/>
    <w:rsid w:val="00783537"/>
    <w:rsid w:val="00787044"/>
    <w:rsid w:val="00787D75"/>
    <w:rsid w:val="00787E00"/>
    <w:rsid w:val="0079796D"/>
    <w:rsid w:val="007A2FF0"/>
    <w:rsid w:val="007A5809"/>
    <w:rsid w:val="007A5DB5"/>
    <w:rsid w:val="007A6B50"/>
    <w:rsid w:val="007A7FB6"/>
    <w:rsid w:val="007B2720"/>
    <w:rsid w:val="007B7726"/>
    <w:rsid w:val="007C25FF"/>
    <w:rsid w:val="007C2730"/>
    <w:rsid w:val="007E1836"/>
    <w:rsid w:val="007E65AC"/>
    <w:rsid w:val="007F79E0"/>
    <w:rsid w:val="00800B8F"/>
    <w:rsid w:val="00803F7C"/>
    <w:rsid w:val="0081216B"/>
    <w:rsid w:val="0081465E"/>
    <w:rsid w:val="008217E7"/>
    <w:rsid w:val="00823CB4"/>
    <w:rsid w:val="00826D3E"/>
    <w:rsid w:val="00827BF9"/>
    <w:rsid w:val="0083185A"/>
    <w:rsid w:val="008349AB"/>
    <w:rsid w:val="008351DE"/>
    <w:rsid w:val="008413F2"/>
    <w:rsid w:val="0084392D"/>
    <w:rsid w:val="00850AE6"/>
    <w:rsid w:val="00852FEA"/>
    <w:rsid w:val="008546CF"/>
    <w:rsid w:val="00854EA0"/>
    <w:rsid w:val="00856936"/>
    <w:rsid w:val="008649E7"/>
    <w:rsid w:val="0087403A"/>
    <w:rsid w:val="008748A7"/>
    <w:rsid w:val="00874EEE"/>
    <w:rsid w:val="00876C13"/>
    <w:rsid w:val="00884398"/>
    <w:rsid w:val="00884F48"/>
    <w:rsid w:val="00891E92"/>
    <w:rsid w:val="008A1CBB"/>
    <w:rsid w:val="008B3155"/>
    <w:rsid w:val="008B5FF8"/>
    <w:rsid w:val="008C037C"/>
    <w:rsid w:val="008C1464"/>
    <w:rsid w:val="008C18A8"/>
    <w:rsid w:val="008C2549"/>
    <w:rsid w:val="008D09D7"/>
    <w:rsid w:val="008D2036"/>
    <w:rsid w:val="008E2C28"/>
    <w:rsid w:val="008E2C5C"/>
    <w:rsid w:val="008E5BE4"/>
    <w:rsid w:val="008E7683"/>
    <w:rsid w:val="008F247F"/>
    <w:rsid w:val="008F2CE2"/>
    <w:rsid w:val="008F4014"/>
    <w:rsid w:val="008F40D5"/>
    <w:rsid w:val="008F46F8"/>
    <w:rsid w:val="0091027D"/>
    <w:rsid w:val="0091035F"/>
    <w:rsid w:val="009202E2"/>
    <w:rsid w:val="00921702"/>
    <w:rsid w:val="00930090"/>
    <w:rsid w:val="009333F4"/>
    <w:rsid w:val="00933B5A"/>
    <w:rsid w:val="00934DB4"/>
    <w:rsid w:val="00941C3C"/>
    <w:rsid w:val="0094328C"/>
    <w:rsid w:val="0095034B"/>
    <w:rsid w:val="009545D3"/>
    <w:rsid w:val="009568A5"/>
    <w:rsid w:val="0096326E"/>
    <w:rsid w:val="009669EC"/>
    <w:rsid w:val="00966DB7"/>
    <w:rsid w:val="0097330F"/>
    <w:rsid w:val="0097775E"/>
    <w:rsid w:val="009779B1"/>
    <w:rsid w:val="00991DA7"/>
    <w:rsid w:val="009A387C"/>
    <w:rsid w:val="009B0741"/>
    <w:rsid w:val="009C47DD"/>
    <w:rsid w:val="009D478D"/>
    <w:rsid w:val="009D5D9F"/>
    <w:rsid w:val="009D73A6"/>
    <w:rsid w:val="009D74AC"/>
    <w:rsid w:val="009E2BD8"/>
    <w:rsid w:val="009E35FC"/>
    <w:rsid w:val="009F1070"/>
    <w:rsid w:val="009F2EB0"/>
    <w:rsid w:val="00A013F8"/>
    <w:rsid w:val="00A051F7"/>
    <w:rsid w:val="00A05332"/>
    <w:rsid w:val="00A07764"/>
    <w:rsid w:val="00A17C63"/>
    <w:rsid w:val="00A23339"/>
    <w:rsid w:val="00A334FB"/>
    <w:rsid w:val="00A36F73"/>
    <w:rsid w:val="00A428D7"/>
    <w:rsid w:val="00A4404B"/>
    <w:rsid w:val="00A45C5C"/>
    <w:rsid w:val="00A4652B"/>
    <w:rsid w:val="00A50E30"/>
    <w:rsid w:val="00A54BE1"/>
    <w:rsid w:val="00A57BEE"/>
    <w:rsid w:val="00A63173"/>
    <w:rsid w:val="00A6372F"/>
    <w:rsid w:val="00A804FC"/>
    <w:rsid w:val="00A831F5"/>
    <w:rsid w:val="00A855F9"/>
    <w:rsid w:val="00A95A06"/>
    <w:rsid w:val="00AA4C68"/>
    <w:rsid w:val="00AA7243"/>
    <w:rsid w:val="00AA73B4"/>
    <w:rsid w:val="00AB1CF6"/>
    <w:rsid w:val="00AB2969"/>
    <w:rsid w:val="00AB3899"/>
    <w:rsid w:val="00AB474E"/>
    <w:rsid w:val="00AC11A3"/>
    <w:rsid w:val="00AC1AFC"/>
    <w:rsid w:val="00AD1761"/>
    <w:rsid w:val="00AD1EA3"/>
    <w:rsid w:val="00AD4B3E"/>
    <w:rsid w:val="00AD5CB5"/>
    <w:rsid w:val="00AE49A9"/>
    <w:rsid w:val="00AE67D3"/>
    <w:rsid w:val="00AE7377"/>
    <w:rsid w:val="00AF0911"/>
    <w:rsid w:val="00AF325D"/>
    <w:rsid w:val="00AF34A0"/>
    <w:rsid w:val="00AF398E"/>
    <w:rsid w:val="00B07F9A"/>
    <w:rsid w:val="00B12793"/>
    <w:rsid w:val="00B3521E"/>
    <w:rsid w:val="00B35A71"/>
    <w:rsid w:val="00B35DAC"/>
    <w:rsid w:val="00B35F7E"/>
    <w:rsid w:val="00B4065F"/>
    <w:rsid w:val="00B42796"/>
    <w:rsid w:val="00B438E9"/>
    <w:rsid w:val="00B802BF"/>
    <w:rsid w:val="00B843B1"/>
    <w:rsid w:val="00B870C0"/>
    <w:rsid w:val="00B91BCC"/>
    <w:rsid w:val="00BA43C3"/>
    <w:rsid w:val="00BA6C70"/>
    <w:rsid w:val="00BA732C"/>
    <w:rsid w:val="00BB0BCA"/>
    <w:rsid w:val="00BB535A"/>
    <w:rsid w:val="00BD38B5"/>
    <w:rsid w:val="00BE0F38"/>
    <w:rsid w:val="00BE12B8"/>
    <w:rsid w:val="00BE1D7B"/>
    <w:rsid w:val="00BF5873"/>
    <w:rsid w:val="00BF5BFF"/>
    <w:rsid w:val="00BF5C8A"/>
    <w:rsid w:val="00C00D4B"/>
    <w:rsid w:val="00C12023"/>
    <w:rsid w:val="00C1557D"/>
    <w:rsid w:val="00C17A8B"/>
    <w:rsid w:val="00C247B8"/>
    <w:rsid w:val="00C32883"/>
    <w:rsid w:val="00C33030"/>
    <w:rsid w:val="00C3412B"/>
    <w:rsid w:val="00C35938"/>
    <w:rsid w:val="00C36E9F"/>
    <w:rsid w:val="00C370C2"/>
    <w:rsid w:val="00C44300"/>
    <w:rsid w:val="00C65E76"/>
    <w:rsid w:val="00C71BB8"/>
    <w:rsid w:val="00C747C9"/>
    <w:rsid w:val="00C9187E"/>
    <w:rsid w:val="00C962F4"/>
    <w:rsid w:val="00C96A94"/>
    <w:rsid w:val="00CA4D9A"/>
    <w:rsid w:val="00CB2A54"/>
    <w:rsid w:val="00CB6F2E"/>
    <w:rsid w:val="00CC2F64"/>
    <w:rsid w:val="00CD4750"/>
    <w:rsid w:val="00CE0353"/>
    <w:rsid w:val="00CE290B"/>
    <w:rsid w:val="00CF214C"/>
    <w:rsid w:val="00CF352B"/>
    <w:rsid w:val="00CF3BEC"/>
    <w:rsid w:val="00CF6F08"/>
    <w:rsid w:val="00D04791"/>
    <w:rsid w:val="00D20ECA"/>
    <w:rsid w:val="00D2591D"/>
    <w:rsid w:val="00D25E11"/>
    <w:rsid w:val="00D26D00"/>
    <w:rsid w:val="00D308D6"/>
    <w:rsid w:val="00D3557E"/>
    <w:rsid w:val="00D37A66"/>
    <w:rsid w:val="00D60F71"/>
    <w:rsid w:val="00D61951"/>
    <w:rsid w:val="00D81232"/>
    <w:rsid w:val="00D83814"/>
    <w:rsid w:val="00D83BE1"/>
    <w:rsid w:val="00D84F19"/>
    <w:rsid w:val="00D85CED"/>
    <w:rsid w:val="00D86920"/>
    <w:rsid w:val="00D86AE8"/>
    <w:rsid w:val="00D9493F"/>
    <w:rsid w:val="00DC087A"/>
    <w:rsid w:val="00DC1E17"/>
    <w:rsid w:val="00DD0EA7"/>
    <w:rsid w:val="00DD5221"/>
    <w:rsid w:val="00DD7AF0"/>
    <w:rsid w:val="00DE00C8"/>
    <w:rsid w:val="00DE18FF"/>
    <w:rsid w:val="00DE3DB6"/>
    <w:rsid w:val="00DE499C"/>
    <w:rsid w:val="00DF1388"/>
    <w:rsid w:val="00DF19A1"/>
    <w:rsid w:val="00DF45DC"/>
    <w:rsid w:val="00DF4DFF"/>
    <w:rsid w:val="00E014AC"/>
    <w:rsid w:val="00E0156F"/>
    <w:rsid w:val="00E077D4"/>
    <w:rsid w:val="00E07962"/>
    <w:rsid w:val="00E12BE2"/>
    <w:rsid w:val="00E12CD2"/>
    <w:rsid w:val="00E15BB4"/>
    <w:rsid w:val="00E23BFB"/>
    <w:rsid w:val="00E2518F"/>
    <w:rsid w:val="00E25FE2"/>
    <w:rsid w:val="00E30184"/>
    <w:rsid w:val="00E31C9E"/>
    <w:rsid w:val="00E322EB"/>
    <w:rsid w:val="00E33D5D"/>
    <w:rsid w:val="00E54194"/>
    <w:rsid w:val="00E54691"/>
    <w:rsid w:val="00E662A1"/>
    <w:rsid w:val="00E70EBE"/>
    <w:rsid w:val="00E725BE"/>
    <w:rsid w:val="00E752B0"/>
    <w:rsid w:val="00E90188"/>
    <w:rsid w:val="00E9510D"/>
    <w:rsid w:val="00E95758"/>
    <w:rsid w:val="00EA196B"/>
    <w:rsid w:val="00EA4470"/>
    <w:rsid w:val="00EC3388"/>
    <w:rsid w:val="00EC7E84"/>
    <w:rsid w:val="00ED34DF"/>
    <w:rsid w:val="00EE1177"/>
    <w:rsid w:val="00EE3FC0"/>
    <w:rsid w:val="00EE412F"/>
    <w:rsid w:val="00EF49FB"/>
    <w:rsid w:val="00F0164C"/>
    <w:rsid w:val="00F01D90"/>
    <w:rsid w:val="00F04368"/>
    <w:rsid w:val="00F12AA1"/>
    <w:rsid w:val="00F249B2"/>
    <w:rsid w:val="00F30F44"/>
    <w:rsid w:val="00F32629"/>
    <w:rsid w:val="00F36E68"/>
    <w:rsid w:val="00F45384"/>
    <w:rsid w:val="00F45CEC"/>
    <w:rsid w:val="00F476DB"/>
    <w:rsid w:val="00F543E2"/>
    <w:rsid w:val="00F57175"/>
    <w:rsid w:val="00F6148B"/>
    <w:rsid w:val="00F7259E"/>
    <w:rsid w:val="00F7674A"/>
    <w:rsid w:val="00F77BA4"/>
    <w:rsid w:val="00F85AD7"/>
    <w:rsid w:val="00F92C59"/>
    <w:rsid w:val="00F95A92"/>
    <w:rsid w:val="00FA52E8"/>
    <w:rsid w:val="00FA55BD"/>
    <w:rsid w:val="00FA6204"/>
    <w:rsid w:val="00FB6C25"/>
    <w:rsid w:val="00FB6FC7"/>
    <w:rsid w:val="00FC0F73"/>
    <w:rsid w:val="00FC269E"/>
    <w:rsid w:val="00FC5E0D"/>
    <w:rsid w:val="00FD109F"/>
    <w:rsid w:val="00FD146E"/>
    <w:rsid w:val="00FD275C"/>
    <w:rsid w:val="00FD7832"/>
    <w:rsid w:val="00FE0A3A"/>
    <w:rsid w:val="00FE11E7"/>
    <w:rsid w:val="00FE196B"/>
    <w:rsid w:val="00FF0444"/>
    <w:rsid w:val="00FF2E8D"/>
    <w:rsid w:val="00FF3A59"/>
    <w:rsid w:val="00FF53AB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4BC1C"/>
  <w15:docId w15:val="{D4EA95E9-8371-4A65-9B85-E338583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DC"/>
  </w:style>
  <w:style w:type="paragraph" w:styleId="Overskrift2">
    <w:name w:val="heading 2"/>
    <w:basedOn w:val="Normal"/>
    <w:link w:val="Overskrift2Tegn"/>
    <w:uiPriority w:val="9"/>
    <w:qFormat/>
    <w:rsid w:val="00B43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B438E9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438E9"/>
    <w:rPr>
      <w:color w:val="0000FF"/>
      <w:u w:val="single"/>
    </w:rPr>
  </w:style>
  <w:style w:type="paragraph" w:customStyle="1" w:styleId="main-content-indexlist-item">
    <w:name w:val="main-content-index__list-item"/>
    <w:basedOn w:val="Normal"/>
    <w:rsid w:val="00B4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F53AB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31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12DE"/>
  </w:style>
  <w:style w:type="paragraph" w:styleId="Sidefod">
    <w:name w:val="footer"/>
    <w:basedOn w:val="Normal"/>
    <w:link w:val="SidefodTegn"/>
    <w:uiPriority w:val="99"/>
    <w:unhideWhenUsed/>
    <w:rsid w:val="00631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12DE"/>
  </w:style>
  <w:style w:type="paragraph" w:styleId="NormalWeb">
    <w:name w:val="Normal (Web)"/>
    <w:basedOn w:val="Normal"/>
    <w:uiPriority w:val="99"/>
    <w:unhideWhenUsed/>
    <w:rsid w:val="0033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9202E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00F1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92E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92E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2ECE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26176D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F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dk/arbejdsmiljoe/asbest/asbest-i-arbejdsmiljoe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.dk/arbejdsmiljoe/asbest/asbest-i-arbejdsmiljoeet/nedrivning-hvor-der-forekommer-asbeststoev-i-vaesentligt-omfa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t.dk/regler/bekendtgoerelser/asbest-7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best-huset.d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j@aaaaa.dk" TargetMode="External"/><Relationship Id="rId1" Type="http://schemas.openxmlformats.org/officeDocument/2006/relationships/hyperlink" Target="http://www.aaaa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1F3B-B138-40AC-A3AE-6288477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672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Ploug Jensen</dc:creator>
  <cp:keywords/>
  <dc:description/>
  <cp:lastModifiedBy>Sonja Ploug Jensen</cp:lastModifiedBy>
  <cp:revision>78</cp:revision>
  <cp:lastPrinted>2024-10-04T06:16:00Z</cp:lastPrinted>
  <dcterms:created xsi:type="dcterms:W3CDTF">2025-01-07T10:09:00Z</dcterms:created>
  <dcterms:modified xsi:type="dcterms:W3CDTF">2025-01-07T11:52:00Z</dcterms:modified>
</cp:coreProperties>
</file>